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B44C0" w14:textId="77777777" w:rsidR="0080301A" w:rsidRDefault="00E56844" w:rsidP="00496735">
      <w:pPr>
        <w:ind w:left="567"/>
        <w:rPr>
          <w:rStyle w:val="CoverLevel1"/>
        </w:rPr>
      </w:pPr>
      <w:bookmarkStart w:id="0" w:name="_Toc96326909"/>
      <w:r>
        <w:rPr>
          <w:noProof/>
          <w:lang w:eastAsia="en-AU"/>
        </w:rPr>
        <w:drawing>
          <wp:inline distT="0" distB="0" distL="0" distR="0" wp14:anchorId="1333357E" wp14:editId="2E97CFA8">
            <wp:extent cx="4175991" cy="627495"/>
            <wp:effectExtent l="0" t="0" r="0" b="1270"/>
            <wp:docPr id="6" name="Picture 6" descr="Australian Government NDIS Review - Working together to deliver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5991" cy="627495"/>
                    </a:xfrm>
                    <a:prstGeom prst="rect">
                      <a:avLst/>
                    </a:prstGeom>
                    <a:noFill/>
                  </pic:spPr>
                </pic:pic>
              </a:graphicData>
            </a:graphic>
          </wp:inline>
        </w:drawing>
      </w:r>
    </w:p>
    <w:p w14:paraId="39F97AA1" w14:textId="77777777" w:rsidR="0080301A" w:rsidRDefault="0080301A" w:rsidP="0080301A">
      <w:pPr>
        <w:rPr>
          <w:lang w:val="en-US"/>
        </w:rPr>
      </w:pPr>
    </w:p>
    <w:p w14:paraId="32E23626" w14:textId="77777777" w:rsidR="0080301A" w:rsidRDefault="0080301A" w:rsidP="0080301A">
      <w:pPr>
        <w:rPr>
          <w:lang w:val="en-US"/>
        </w:rPr>
      </w:pPr>
    </w:p>
    <w:p w14:paraId="2B442A78" w14:textId="77777777" w:rsidR="00E56844" w:rsidRDefault="00E56844" w:rsidP="0080301A">
      <w:pPr>
        <w:rPr>
          <w:lang w:val="en-US"/>
        </w:rPr>
      </w:pPr>
    </w:p>
    <w:p w14:paraId="711E0F30" w14:textId="77777777" w:rsidR="00E56844" w:rsidRDefault="00E56844" w:rsidP="0080301A">
      <w:pPr>
        <w:rPr>
          <w:lang w:val="en-US"/>
        </w:rPr>
      </w:pPr>
    </w:p>
    <w:p w14:paraId="29399D39" w14:textId="77777777" w:rsidR="00496735" w:rsidRPr="00496735" w:rsidRDefault="00496735" w:rsidP="00496735"/>
    <w:p w14:paraId="2251660E" w14:textId="4E0AC435" w:rsidR="00A62EF3" w:rsidRPr="0080301A" w:rsidRDefault="00EC5D71" w:rsidP="00012A6F">
      <w:pPr>
        <w:pStyle w:val="Title"/>
        <w:spacing w:line="276" w:lineRule="auto"/>
        <w:ind w:left="2977" w:right="1418"/>
        <w:outlineLvl w:val="0"/>
        <w:rPr>
          <w:szCs w:val="56"/>
        </w:rPr>
      </w:pPr>
      <w:r>
        <w:rPr>
          <w:rStyle w:val="CoverLevel1"/>
        </w:rPr>
        <w:t>Alternative commissioning</w:t>
      </w:r>
      <w:r>
        <w:rPr>
          <w:rStyle w:val="CoverLevel1"/>
        </w:rPr>
        <w:br/>
        <w:t>for remote and</w:t>
      </w:r>
      <w:r>
        <w:rPr>
          <w:rStyle w:val="CoverLevel1"/>
        </w:rPr>
        <w:br/>
        <w:t>First Nations communities</w:t>
      </w:r>
    </w:p>
    <w:p w14:paraId="2FEE6B0F" w14:textId="7234EEDF" w:rsidR="00FB23FC" w:rsidRPr="00EC5D71" w:rsidRDefault="00EC5D71" w:rsidP="00EC5D71">
      <w:pPr>
        <w:pStyle w:val="Subtitle"/>
        <w:sectPr w:rsidR="00FB23FC" w:rsidRPr="00EC5D71" w:rsidSect="00496735">
          <w:headerReference w:type="even" r:id="rId12"/>
          <w:headerReference w:type="default" r:id="rId13"/>
          <w:footerReference w:type="even" r:id="rId14"/>
          <w:footerReference w:type="default" r:id="rId15"/>
          <w:headerReference w:type="first" r:id="rId16"/>
          <w:footerReference w:type="first" r:id="rId17"/>
          <w:pgSz w:w="11906" w:h="16838" w:code="9"/>
          <w:pgMar w:top="1560" w:right="1134" w:bottom="1843" w:left="1134" w:header="709" w:footer="709" w:gutter="0"/>
          <w:pgNumType w:start="0"/>
          <w:cols w:space="708"/>
          <w:titlePg/>
          <w:docGrid w:linePitch="360"/>
        </w:sectPr>
      </w:pPr>
      <w:r>
        <w:t>June</w:t>
      </w:r>
      <w:r w:rsidR="007E73AF" w:rsidRPr="00D001E2">
        <w:t xml:space="preserve"> 2023</w:t>
      </w:r>
    </w:p>
    <w:p w14:paraId="688DF118" w14:textId="77777777" w:rsidR="00461654" w:rsidRPr="00912EB9" w:rsidRDefault="00461654" w:rsidP="00C04200">
      <w:pPr>
        <w:sectPr w:rsidR="00461654" w:rsidRPr="00912EB9" w:rsidSect="00D001E2">
          <w:headerReference w:type="first" r:id="rId18"/>
          <w:footerReference w:type="first" r:id="rId19"/>
          <w:pgSz w:w="11906" w:h="16838" w:code="9"/>
          <w:pgMar w:top="851" w:right="1134" w:bottom="1843" w:left="1134" w:header="992" w:footer="709" w:gutter="0"/>
          <w:pgNumType w:fmt="lowerRoman" w:start="1"/>
          <w:cols w:space="708"/>
          <w:titlePg/>
          <w:docGrid w:linePitch="360"/>
        </w:sectPr>
      </w:pPr>
    </w:p>
    <w:sdt>
      <w:sdtPr>
        <w:rPr>
          <w:rFonts w:asciiTheme="minorHAnsi" w:eastAsiaTheme="minorEastAsia" w:hAnsiTheme="minorHAnsi" w:cstheme="minorBidi"/>
          <w:b/>
          <w:noProof w:val="0"/>
          <w:color w:val="auto"/>
          <w:sz w:val="24"/>
          <w:szCs w:val="21"/>
        </w:rPr>
        <w:id w:val="415815570"/>
        <w:docPartObj>
          <w:docPartGallery w:val="Table of Contents"/>
          <w:docPartUnique/>
        </w:docPartObj>
      </w:sdtPr>
      <w:sdtEndPr>
        <w:rPr>
          <w:b w:val="0"/>
        </w:rPr>
      </w:sdtEndPr>
      <w:sdtContent>
        <w:p w14:paraId="28670CF9" w14:textId="77777777" w:rsidR="00F470D0" w:rsidRPr="00575BE7" w:rsidRDefault="414B33A1" w:rsidP="005A4960">
          <w:pPr>
            <w:pStyle w:val="TOCHeading"/>
          </w:pPr>
          <w:r w:rsidRPr="00575BE7">
            <w:t>Contents</w:t>
          </w:r>
        </w:p>
        <w:p w14:paraId="5B7B49D4" w14:textId="3A10AB7B" w:rsidR="00961D30" w:rsidRDefault="00CB1BCB">
          <w:pPr>
            <w:pStyle w:val="TOC2"/>
            <w:rPr>
              <w:sz w:val="22"/>
              <w:szCs w:val="22"/>
              <w:lang w:eastAsia="en-AU"/>
            </w:rPr>
          </w:pPr>
          <w:r>
            <w:fldChar w:fldCharType="begin"/>
          </w:r>
          <w:r>
            <w:instrText xml:space="preserve"> TOC \h \z \t "Heading 2,2" </w:instrText>
          </w:r>
          <w:r>
            <w:fldChar w:fldCharType="separate"/>
          </w:r>
          <w:hyperlink w:anchor="_Toc136522395" w:history="1">
            <w:r w:rsidR="00961D30" w:rsidRPr="002F777E">
              <w:rPr>
                <w:rStyle w:val="Hyperlink"/>
              </w:rPr>
              <w:t>Overview</w:t>
            </w:r>
            <w:r w:rsidR="00961D30">
              <w:rPr>
                <w:webHidden/>
              </w:rPr>
              <w:tab/>
            </w:r>
            <w:r w:rsidR="00961D30">
              <w:rPr>
                <w:webHidden/>
              </w:rPr>
              <w:fldChar w:fldCharType="begin"/>
            </w:r>
            <w:r w:rsidR="00961D30">
              <w:rPr>
                <w:webHidden/>
              </w:rPr>
              <w:instrText xml:space="preserve"> PAGEREF _Toc136522395 \h </w:instrText>
            </w:r>
            <w:r w:rsidR="00961D30">
              <w:rPr>
                <w:webHidden/>
              </w:rPr>
            </w:r>
            <w:r w:rsidR="00961D30">
              <w:rPr>
                <w:webHidden/>
              </w:rPr>
              <w:fldChar w:fldCharType="separate"/>
            </w:r>
            <w:r w:rsidR="00961D30">
              <w:rPr>
                <w:webHidden/>
              </w:rPr>
              <w:t>2</w:t>
            </w:r>
            <w:r w:rsidR="00961D30">
              <w:rPr>
                <w:webHidden/>
              </w:rPr>
              <w:fldChar w:fldCharType="end"/>
            </w:r>
          </w:hyperlink>
        </w:p>
        <w:p w14:paraId="23CC2DBF" w14:textId="0F607FDC" w:rsidR="00961D30" w:rsidRDefault="00050BFB">
          <w:pPr>
            <w:pStyle w:val="TOC2"/>
            <w:tabs>
              <w:tab w:val="left" w:pos="660"/>
            </w:tabs>
            <w:rPr>
              <w:sz w:val="22"/>
              <w:szCs w:val="22"/>
              <w:lang w:eastAsia="en-AU"/>
            </w:rPr>
          </w:pPr>
          <w:hyperlink w:anchor="_Toc136522396" w:history="1">
            <w:r w:rsidR="00961D30" w:rsidRPr="002F777E">
              <w:rPr>
                <w:rStyle w:val="Hyperlink"/>
              </w:rPr>
              <w:t>1.</w:t>
            </w:r>
            <w:r w:rsidR="00961D30">
              <w:rPr>
                <w:sz w:val="22"/>
                <w:szCs w:val="22"/>
                <w:lang w:eastAsia="en-AU"/>
              </w:rPr>
              <w:tab/>
            </w:r>
            <w:r w:rsidR="00961D30" w:rsidRPr="002F777E">
              <w:rPr>
                <w:rStyle w:val="Hyperlink"/>
              </w:rPr>
              <w:t>Market challenges limit the ability of the NDIS to deliver quality supports for participants</w:t>
            </w:r>
            <w:r w:rsidR="00961D30">
              <w:rPr>
                <w:webHidden/>
              </w:rPr>
              <w:tab/>
            </w:r>
            <w:r w:rsidR="00961D30">
              <w:rPr>
                <w:webHidden/>
              </w:rPr>
              <w:fldChar w:fldCharType="begin"/>
            </w:r>
            <w:r w:rsidR="00961D30">
              <w:rPr>
                <w:webHidden/>
              </w:rPr>
              <w:instrText xml:space="preserve"> PAGEREF _Toc136522396 \h </w:instrText>
            </w:r>
            <w:r w:rsidR="00961D30">
              <w:rPr>
                <w:webHidden/>
              </w:rPr>
            </w:r>
            <w:r w:rsidR="00961D30">
              <w:rPr>
                <w:webHidden/>
              </w:rPr>
              <w:fldChar w:fldCharType="separate"/>
            </w:r>
            <w:r w:rsidR="00961D30">
              <w:rPr>
                <w:webHidden/>
              </w:rPr>
              <w:t>5</w:t>
            </w:r>
            <w:r w:rsidR="00961D30">
              <w:rPr>
                <w:webHidden/>
              </w:rPr>
              <w:fldChar w:fldCharType="end"/>
            </w:r>
          </w:hyperlink>
        </w:p>
        <w:p w14:paraId="6B03C928" w14:textId="446A6BCC" w:rsidR="00961D30" w:rsidRDefault="00050BFB">
          <w:pPr>
            <w:pStyle w:val="TOC2"/>
            <w:tabs>
              <w:tab w:val="left" w:pos="660"/>
            </w:tabs>
            <w:rPr>
              <w:sz w:val="22"/>
              <w:szCs w:val="22"/>
              <w:lang w:eastAsia="en-AU"/>
            </w:rPr>
          </w:pPr>
          <w:hyperlink w:anchor="_Toc136522397" w:history="1">
            <w:r w:rsidR="00961D30" w:rsidRPr="002F777E">
              <w:rPr>
                <w:rStyle w:val="Hyperlink"/>
              </w:rPr>
              <w:t>2.</w:t>
            </w:r>
            <w:r w:rsidR="00961D30">
              <w:rPr>
                <w:sz w:val="22"/>
                <w:szCs w:val="22"/>
                <w:lang w:eastAsia="en-AU"/>
              </w:rPr>
              <w:tab/>
            </w:r>
            <w:r w:rsidR="00961D30" w:rsidRPr="002F777E">
              <w:rPr>
                <w:rStyle w:val="Hyperlink"/>
              </w:rPr>
              <w:t>Efforts to date have been too narrow</w:t>
            </w:r>
            <w:r w:rsidR="00961D30">
              <w:rPr>
                <w:webHidden/>
              </w:rPr>
              <w:tab/>
            </w:r>
            <w:r w:rsidR="00961D30">
              <w:rPr>
                <w:webHidden/>
              </w:rPr>
              <w:fldChar w:fldCharType="begin"/>
            </w:r>
            <w:r w:rsidR="00961D30">
              <w:rPr>
                <w:webHidden/>
              </w:rPr>
              <w:instrText xml:space="preserve"> PAGEREF _Toc136522397 \h </w:instrText>
            </w:r>
            <w:r w:rsidR="00961D30">
              <w:rPr>
                <w:webHidden/>
              </w:rPr>
            </w:r>
            <w:r w:rsidR="00961D30">
              <w:rPr>
                <w:webHidden/>
              </w:rPr>
              <w:fldChar w:fldCharType="separate"/>
            </w:r>
            <w:r w:rsidR="00961D30">
              <w:rPr>
                <w:webHidden/>
              </w:rPr>
              <w:t>12</w:t>
            </w:r>
            <w:r w:rsidR="00961D30">
              <w:rPr>
                <w:webHidden/>
              </w:rPr>
              <w:fldChar w:fldCharType="end"/>
            </w:r>
          </w:hyperlink>
        </w:p>
        <w:p w14:paraId="0B48FC65" w14:textId="1CBE38DC" w:rsidR="00961D30" w:rsidRDefault="00050BFB">
          <w:pPr>
            <w:pStyle w:val="TOC2"/>
            <w:tabs>
              <w:tab w:val="left" w:pos="660"/>
            </w:tabs>
            <w:rPr>
              <w:sz w:val="22"/>
              <w:szCs w:val="22"/>
              <w:lang w:eastAsia="en-AU"/>
            </w:rPr>
          </w:pPr>
          <w:hyperlink w:anchor="_Toc136522398" w:history="1">
            <w:r w:rsidR="00961D30" w:rsidRPr="002F777E">
              <w:rPr>
                <w:rStyle w:val="Hyperlink"/>
              </w:rPr>
              <w:t>3.</w:t>
            </w:r>
            <w:r w:rsidR="00961D30">
              <w:rPr>
                <w:sz w:val="22"/>
                <w:szCs w:val="22"/>
                <w:lang w:eastAsia="en-AU"/>
              </w:rPr>
              <w:tab/>
            </w:r>
            <w:r w:rsidR="00961D30" w:rsidRPr="002F777E">
              <w:rPr>
                <w:rStyle w:val="Hyperlink"/>
              </w:rPr>
              <w:t>Opportunities for more culturally appropriate and sustainable services in First Nations communities and remote communities</w:t>
            </w:r>
            <w:r w:rsidR="00961D30">
              <w:rPr>
                <w:webHidden/>
              </w:rPr>
              <w:tab/>
            </w:r>
            <w:r w:rsidR="00961D30">
              <w:rPr>
                <w:webHidden/>
              </w:rPr>
              <w:fldChar w:fldCharType="begin"/>
            </w:r>
            <w:r w:rsidR="00961D30">
              <w:rPr>
                <w:webHidden/>
              </w:rPr>
              <w:instrText xml:space="preserve"> PAGEREF _Toc136522398 \h </w:instrText>
            </w:r>
            <w:r w:rsidR="00961D30">
              <w:rPr>
                <w:webHidden/>
              </w:rPr>
            </w:r>
            <w:r w:rsidR="00961D30">
              <w:rPr>
                <w:webHidden/>
              </w:rPr>
              <w:fldChar w:fldCharType="separate"/>
            </w:r>
            <w:r w:rsidR="00961D30">
              <w:rPr>
                <w:webHidden/>
              </w:rPr>
              <w:t>19</w:t>
            </w:r>
            <w:r w:rsidR="00961D30">
              <w:rPr>
                <w:webHidden/>
              </w:rPr>
              <w:fldChar w:fldCharType="end"/>
            </w:r>
          </w:hyperlink>
        </w:p>
        <w:p w14:paraId="0A0761B9" w14:textId="7F88B247" w:rsidR="00961D30" w:rsidRDefault="00050BFB">
          <w:pPr>
            <w:pStyle w:val="TOC2"/>
            <w:tabs>
              <w:tab w:val="left" w:pos="660"/>
            </w:tabs>
            <w:rPr>
              <w:sz w:val="22"/>
              <w:szCs w:val="22"/>
              <w:lang w:eastAsia="en-AU"/>
            </w:rPr>
          </w:pPr>
          <w:hyperlink w:anchor="_Toc136522399" w:history="1">
            <w:r w:rsidR="00961D30" w:rsidRPr="002F777E">
              <w:rPr>
                <w:rStyle w:val="Hyperlink"/>
              </w:rPr>
              <w:t>4.</w:t>
            </w:r>
            <w:r w:rsidR="00961D30">
              <w:rPr>
                <w:sz w:val="22"/>
                <w:szCs w:val="22"/>
                <w:lang w:eastAsia="en-AU"/>
              </w:rPr>
              <w:tab/>
            </w:r>
            <w:r w:rsidR="00961D30" w:rsidRPr="002F777E">
              <w:rPr>
                <w:rStyle w:val="Hyperlink"/>
              </w:rPr>
              <w:t>Implementing a placed-based, community-driven alternative commissioning approach</w:t>
            </w:r>
            <w:r w:rsidR="00961D30">
              <w:rPr>
                <w:webHidden/>
              </w:rPr>
              <w:tab/>
            </w:r>
            <w:r w:rsidR="00961D30">
              <w:rPr>
                <w:webHidden/>
              </w:rPr>
              <w:fldChar w:fldCharType="begin"/>
            </w:r>
            <w:r w:rsidR="00961D30">
              <w:rPr>
                <w:webHidden/>
              </w:rPr>
              <w:instrText xml:space="preserve"> PAGEREF _Toc136522399 \h </w:instrText>
            </w:r>
            <w:r w:rsidR="00961D30">
              <w:rPr>
                <w:webHidden/>
              </w:rPr>
            </w:r>
            <w:r w:rsidR="00961D30">
              <w:rPr>
                <w:webHidden/>
              </w:rPr>
              <w:fldChar w:fldCharType="separate"/>
            </w:r>
            <w:r w:rsidR="00961D30">
              <w:rPr>
                <w:webHidden/>
              </w:rPr>
              <w:t>29</w:t>
            </w:r>
            <w:r w:rsidR="00961D30">
              <w:rPr>
                <w:webHidden/>
              </w:rPr>
              <w:fldChar w:fldCharType="end"/>
            </w:r>
          </w:hyperlink>
        </w:p>
        <w:p w14:paraId="583C9E11" w14:textId="5CA255C4" w:rsidR="00961D30" w:rsidRDefault="00050BFB">
          <w:pPr>
            <w:pStyle w:val="TOC2"/>
            <w:rPr>
              <w:sz w:val="22"/>
              <w:szCs w:val="22"/>
              <w:lang w:eastAsia="en-AU"/>
            </w:rPr>
          </w:pPr>
          <w:hyperlink w:anchor="_Toc136522400" w:history="1">
            <w:r w:rsidR="00961D30" w:rsidRPr="002F777E">
              <w:rPr>
                <w:rStyle w:val="Hyperlink"/>
              </w:rPr>
              <w:t>5. Next steps</w:t>
            </w:r>
            <w:r w:rsidR="00961D30">
              <w:rPr>
                <w:webHidden/>
              </w:rPr>
              <w:tab/>
            </w:r>
            <w:r w:rsidR="00961D30">
              <w:rPr>
                <w:webHidden/>
              </w:rPr>
              <w:fldChar w:fldCharType="begin"/>
            </w:r>
            <w:r w:rsidR="00961D30">
              <w:rPr>
                <w:webHidden/>
              </w:rPr>
              <w:instrText xml:space="preserve"> PAGEREF _Toc136522400 \h </w:instrText>
            </w:r>
            <w:r w:rsidR="00961D30">
              <w:rPr>
                <w:webHidden/>
              </w:rPr>
            </w:r>
            <w:r w:rsidR="00961D30">
              <w:rPr>
                <w:webHidden/>
              </w:rPr>
              <w:fldChar w:fldCharType="separate"/>
            </w:r>
            <w:r w:rsidR="00961D30">
              <w:rPr>
                <w:webHidden/>
              </w:rPr>
              <w:t>36</w:t>
            </w:r>
            <w:r w:rsidR="00961D30">
              <w:rPr>
                <w:webHidden/>
              </w:rPr>
              <w:fldChar w:fldCharType="end"/>
            </w:r>
          </w:hyperlink>
        </w:p>
        <w:p w14:paraId="2888E44B" w14:textId="643A12DE" w:rsidR="00961D30" w:rsidRDefault="00050BFB">
          <w:pPr>
            <w:pStyle w:val="TOC2"/>
            <w:rPr>
              <w:sz w:val="22"/>
              <w:szCs w:val="22"/>
              <w:lang w:eastAsia="en-AU"/>
            </w:rPr>
          </w:pPr>
          <w:hyperlink w:anchor="_Toc136522401" w:history="1">
            <w:r w:rsidR="00961D30" w:rsidRPr="002F777E">
              <w:rPr>
                <w:rStyle w:val="Hyperlink"/>
              </w:rPr>
              <w:t>Appendix 1 – Text descriptions</w:t>
            </w:r>
            <w:r w:rsidR="00961D30">
              <w:rPr>
                <w:webHidden/>
              </w:rPr>
              <w:tab/>
            </w:r>
            <w:r w:rsidR="00961D30">
              <w:rPr>
                <w:webHidden/>
              </w:rPr>
              <w:fldChar w:fldCharType="begin"/>
            </w:r>
            <w:r w:rsidR="00961D30">
              <w:rPr>
                <w:webHidden/>
              </w:rPr>
              <w:instrText xml:space="preserve"> PAGEREF _Toc136522401 \h </w:instrText>
            </w:r>
            <w:r w:rsidR="00961D30">
              <w:rPr>
                <w:webHidden/>
              </w:rPr>
            </w:r>
            <w:r w:rsidR="00961D30">
              <w:rPr>
                <w:webHidden/>
              </w:rPr>
              <w:fldChar w:fldCharType="separate"/>
            </w:r>
            <w:r w:rsidR="00961D30">
              <w:rPr>
                <w:webHidden/>
              </w:rPr>
              <w:t>37</w:t>
            </w:r>
            <w:r w:rsidR="00961D30">
              <w:rPr>
                <w:webHidden/>
              </w:rPr>
              <w:fldChar w:fldCharType="end"/>
            </w:r>
          </w:hyperlink>
        </w:p>
        <w:p w14:paraId="124615AB" w14:textId="6926CD35" w:rsidR="000B7E98" w:rsidRPr="00734F00" w:rsidRDefault="00CB1BCB" w:rsidP="00285C80">
          <w:pPr>
            <w:sectPr w:rsidR="000B7E98" w:rsidRPr="00734F00" w:rsidSect="002A0C9C">
              <w:headerReference w:type="first" r:id="rId20"/>
              <w:type w:val="continuous"/>
              <w:pgSz w:w="11906" w:h="16838" w:code="9"/>
              <w:pgMar w:top="1560" w:right="1134" w:bottom="1843" w:left="1134" w:header="992" w:footer="709" w:gutter="0"/>
              <w:pgNumType w:fmt="lowerRoman" w:start="1"/>
              <w:cols w:space="708"/>
              <w:docGrid w:linePitch="360"/>
            </w:sectPr>
          </w:pPr>
          <w:r>
            <w:fldChar w:fldCharType="end"/>
          </w:r>
        </w:p>
      </w:sdtContent>
    </w:sdt>
    <w:p w14:paraId="5C241550" w14:textId="1E8134A7" w:rsidR="00EC5D71" w:rsidRDefault="00EC5D71" w:rsidP="001B0F0B">
      <w:pPr>
        <w:pStyle w:val="Heading2"/>
      </w:pPr>
      <w:bookmarkStart w:id="1" w:name="_Toc136522395"/>
      <w:bookmarkEnd w:id="0"/>
      <w:r>
        <w:lastRenderedPageBreak/>
        <w:t>Overview</w:t>
      </w:r>
      <w:bookmarkEnd w:id="1"/>
    </w:p>
    <w:p w14:paraId="47DB4417" w14:textId="77777777" w:rsidR="00EC5D71" w:rsidRDefault="00EC5D71" w:rsidP="00EC5D71">
      <w:r w:rsidRPr="002E213A">
        <w:t xml:space="preserve">The </w:t>
      </w:r>
      <w:r w:rsidRPr="003F17BA">
        <w:t xml:space="preserve">National Disability Insurance Scheme (NDIS) </w:t>
      </w:r>
      <w:r w:rsidRPr="002E213A">
        <w:t xml:space="preserve">has </w:t>
      </w:r>
      <w:r>
        <w:t xml:space="preserve">changed the way disability supports are delivered. The current market-based approach to deliver NDIS supports has provided many participants with greater choice and control in their lives. </w:t>
      </w:r>
    </w:p>
    <w:p w14:paraId="41CFFFE5" w14:textId="77777777" w:rsidR="00EC5D71" w:rsidRDefault="00EC5D71" w:rsidP="00EC5D71">
      <w:r>
        <w:t xml:space="preserve">We also know that, in some areas, market challenges are limiting the ability of the NDIS to deliver on its promise for participants to live an ordinary life. </w:t>
      </w:r>
    </w:p>
    <w:p w14:paraId="6398D05A" w14:textId="77777777" w:rsidR="00EC5D71" w:rsidRDefault="00EC5D71" w:rsidP="00EC5D71">
      <w:r>
        <w:t>Many of these market challenges are already well known. Many reviews have outlined the issues with taking a ‘one-size-fits-all’ approach to the NDIS. Yet these challenges are still plaguing the scheme today – and leaving some participants behind. G</w:t>
      </w:r>
      <w:r w:rsidRPr="00487A56">
        <w:t xml:space="preserve">aps in delivery </w:t>
      </w:r>
      <w:r>
        <w:t>are</w:t>
      </w:r>
      <w:r w:rsidRPr="00487A56">
        <w:t xml:space="preserve"> </w:t>
      </w:r>
      <w:r>
        <w:t xml:space="preserve">particularly evident for both </w:t>
      </w:r>
      <w:r w:rsidRPr="00487A56">
        <w:t>First Nations and remote communities who are being left behind under the rigid market approach</w:t>
      </w:r>
      <w:r>
        <w:t>.</w:t>
      </w:r>
    </w:p>
    <w:p w14:paraId="787DF691" w14:textId="77777777" w:rsidR="00EC5D71" w:rsidRDefault="00EC5D71" w:rsidP="00EC5D71">
      <w:r>
        <w:t>T</w:t>
      </w:r>
      <w:r w:rsidRPr="000F4FA7">
        <w:t>he National Di</w:t>
      </w:r>
      <w:r>
        <w:t>sability Insurance Agency</w:t>
      </w:r>
      <w:r w:rsidRPr="000F4FA7">
        <w:t xml:space="preserve"> </w:t>
      </w:r>
      <w:r>
        <w:t>(NDIA) has taken some important first steps to trial more flexible market approaches in the NDIS. This includes starting to build partnerships with communities</w:t>
      </w:r>
      <w:r w:rsidRPr="000F4FA7">
        <w:t>.</w:t>
      </w:r>
      <w:r>
        <w:t xml:space="preserve"> However, these are just first steps – more needs to, and can, be done.</w:t>
      </w:r>
    </w:p>
    <w:p w14:paraId="13690BC5" w14:textId="77777777" w:rsidR="00EC5D71" w:rsidRPr="00A11020" w:rsidRDefault="00EC5D71" w:rsidP="00EC5D71">
      <w:r>
        <w:t>G</w:t>
      </w:r>
      <w:r>
        <w:rPr>
          <w:bCs/>
          <w:szCs w:val="24"/>
        </w:rPr>
        <w:t xml:space="preserve">overnments can play a more active and flexible role as ‘stewards’ of the NDIS market. Throughout the NDIS Review, we will continue to work with you to come up with solutions on how we can strengthen market stewardship in the NDIS to deliver outcomes for all participants. </w:t>
      </w:r>
    </w:p>
    <w:p w14:paraId="3FF5380B" w14:textId="77777777" w:rsidR="00EC5D71" w:rsidRDefault="00EC5D71" w:rsidP="00EC5D71">
      <w:pPr>
        <w:rPr>
          <w:bCs/>
          <w:szCs w:val="24"/>
        </w:rPr>
      </w:pPr>
      <w:r>
        <w:rPr>
          <w:bCs/>
          <w:szCs w:val="24"/>
        </w:rPr>
        <w:t xml:space="preserve">Some </w:t>
      </w:r>
      <w:r w:rsidRPr="008D626D">
        <w:rPr>
          <w:bCs/>
          <w:szCs w:val="24"/>
        </w:rPr>
        <w:t xml:space="preserve">steps can be taken now to address persisting market gaps </w:t>
      </w:r>
      <w:r>
        <w:rPr>
          <w:bCs/>
          <w:szCs w:val="24"/>
        </w:rPr>
        <w:t>in</w:t>
      </w:r>
      <w:r w:rsidRPr="008D626D">
        <w:rPr>
          <w:bCs/>
          <w:szCs w:val="24"/>
        </w:rPr>
        <w:t xml:space="preserve"> </w:t>
      </w:r>
      <w:r>
        <w:rPr>
          <w:bCs/>
          <w:szCs w:val="24"/>
        </w:rPr>
        <w:t>remote and First N</w:t>
      </w:r>
      <w:r w:rsidRPr="008D626D">
        <w:rPr>
          <w:bCs/>
          <w:szCs w:val="24"/>
        </w:rPr>
        <w:t>ations communities.</w:t>
      </w:r>
      <w:r>
        <w:rPr>
          <w:bCs/>
          <w:szCs w:val="24"/>
        </w:rPr>
        <w:t xml:space="preserve"> </w:t>
      </w:r>
    </w:p>
    <w:p w14:paraId="3D73CFAB" w14:textId="77777777" w:rsidR="00EC5D71" w:rsidRDefault="00EC5D71" w:rsidP="00EC5D71">
      <w:pPr>
        <w:rPr>
          <w:bCs/>
          <w:szCs w:val="24"/>
        </w:rPr>
      </w:pPr>
      <w:r>
        <w:rPr>
          <w:bCs/>
          <w:szCs w:val="24"/>
        </w:rPr>
        <w:t xml:space="preserve">Alternative commissioning – where </w:t>
      </w:r>
      <w:r>
        <w:t>a ‘commissioner’ contracts a provider to support a group of participants –</w:t>
      </w:r>
      <w:r>
        <w:rPr>
          <w:bCs/>
          <w:szCs w:val="24"/>
        </w:rPr>
        <w:t xml:space="preserve"> is not a new idea. Many past reviews of the NDIS have called for these arrangements to be used when competition in markets are failing participants. </w:t>
      </w:r>
    </w:p>
    <w:p w14:paraId="1EF2AC83" w14:textId="77777777" w:rsidR="00EC5D71" w:rsidRDefault="00EC5D71" w:rsidP="00EC5D71">
      <w:pPr>
        <w:rPr>
          <w:bCs/>
          <w:szCs w:val="24"/>
        </w:rPr>
      </w:pPr>
      <w:r>
        <w:rPr>
          <w:bCs/>
          <w:szCs w:val="24"/>
        </w:rPr>
        <w:t xml:space="preserve">When placed-based and community-driven, alternative commissioning could help the NDIS to deliver more culturally appropriate, efficient and sustainable supports for First Nations communities and remote communities. Partnerships between First Nations organisations and experienced disability service providers will also be critical in building understanding of disability and capability to deliver supports in a culturally safe and inclusive way for communities. </w:t>
      </w:r>
      <w:r>
        <w:t xml:space="preserve">Over time, communities should </w:t>
      </w:r>
      <w:r w:rsidRPr="000437D3">
        <w:t xml:space="preserve">be supported to </w:t>
      </w:r>
      <w:r>
        <w:t>buy and coordinate the supports for themselves. Where they wish to, communities could design the approach and lead the commissioning process.</w:t>
      </w:r>
    </w:p>
    <w:p w14:paraId="5DCDA75C" w14:textId="5ED0EBD0" w:rsidR="00EC5D71" w:rsidRPr="00EC5D71" w:rsidRDefault="00EC5D71" w:rsidP="00EC5D71">
      <w:r w:rsidRPr="00726D75">
        <w:rPr>
          <w:bCs/>
          <w:szCs w:val="24"/>
        </w:rPr>
        <w:lastRenderedPageBreak/>
        <w:t>Over the coming months, we will work with First Nations representatives, communities and governments on how alternative commissioning approaches could be implemented in the NDIS.</w:t>
      </w:r>
    </w:p>
    <w:p w14:paraId="6B4F1D7F" w14:textId="77777777" w:rsidR="00EC5D71" w:rsidRDefault="00EC5D71" w:rsidP="006A65D4">
      <w:pPr>
        <w:pStyle w:val="B1-Heading1"/>
        <w:tabs>
          <w:tab w:val="clear" w:pos="3300"/>
        </w:tabs>
        <w:outlineLvl w:val="2"/>
      </w:pPr>
      <w:r>
        <w:t>Key points</w:t>
      </w:r>
    </w:p>
    <w:p w14:paraId="552B70E5" w14:textId="73BFE448" w:rsidR="00EC5D71" w:rsidRPr="00B81B93" w:rsidRDefault="00EC5D71" w:rsidP="006A65D4">
      <w:pPr>
        <w:pStyle w:val="B1-Listbullets"/>
      </w:pPr>
      <w:r w:rsidRPr="00B81B93">
        <w:t>Over</w:t>
      </w:r>
      <w:r w:rsidRPr="00EC5D71">
        <w:t xml:space="preserve"> the past decade, significant market development in the NDIS has improved outcomes for many </w:t>
      </w:r>
      <w:r w:rsidRPr="00B81B93">
        <w:t xml:space="preserve">participants. </w:t>
      </w:r>
    </w:p>
    <w:p w14:paraId="7E96E06C" w14:textId="216AD4E3" w:rsidR="00EC5D71" w:rsidRPr="00B81B93" w:rsidRDefault="00EC5D71" w:rsidP="00B81B93">
      <w:pPr>
        <w:pStyle w:val="B1-Listbullets"/>
      </w:pPr>
      <w:r w:rsidRPr="00B81B93">
        <w:t>For others, a fully individualised and market-driven approach has left them with limited access to supports. This includes gaps in delivery for First Nations participants and in remote communities who are being left behind under the rigid market approach, and a persistent lack of culturally appropriate supports. Ten years on, available data shows that a small number – including just 40 members of the National Aboriginal Community Controlled Health Organisation (NACCHO) – are providing supports as registered NDIS providers.</w:t>
      </w:r>
    </w:p>
    <w:p w14:paraId="7D2C8A43" w14:textId="0C775304" w:rsidR="00EC5D71" w:rsidRPr="00B81B93" w:rsidRDefault="00EC5D71" w:rsidP="00B81B93">
      <w:pPr>
        <w:pStyle w:val="B1-Listbullets"/>
      </w:pPr>
      <w:r w:rsidRPr="00B81B93">
        <w:t>While increases in remote and very remote price loadings and more flexible pricing arrangements (for example, to cover telehealth) have addressed some challenges in these areas, persistent ma</w:t>
      </w:r>
      <w:r w:rsidR="00B81B93" w:rsidRPr="00B81B93">
        <w:softHyphen/>
      </w:r>
      <w:r w:rsidRPr="00B81B93">
        <w:t xml:space="preserve">rket gaps remain. </w:t>
      </w:r>
    </w:p>
    <w:p w14:paraId="30C1366F" w14:textId="4854EAB1" w:rsidR="00EC5D71" w:rsidRPr="00B81B93" w:rsidRDefault="00EC5D71" w:rsidP="00B81B93">
      <w:pPr>
        <w:pStyle w:val="B1-Listbullets"/>
      </w:pPr>
      <w:r w:rsidRPr="00B81B93">
        <w:t>In remote and very remote Australia, over one in three participants – who have been in the NDIS for over one year – are not accessing daily activity supports, and over one in four are not accessing therapy supports.</w:t>
      </w:r>
    </w:p>
    <w:p w14:paraId="7F52112B" w14:textId="6BCE73BB" w:rsidR="00EC5D71" w:rsidRPr="00B81B93" w:rsidRDefault="00EC5D71" w:rsidP="00B81B93">
      <w:pPr>
        <w:pStyle w:val="B1-Listbullets"/>
      </w:pPr>
      <w:r w:rsidRPr="00B81B93">
        <w:t xml:space="preserve">Over the past five years, many reviews have repeatedly called for alternative commissioning approaches to address persistent market gaps, particularly in remote communities. While the NDIA’s thin market trials have explored a few commissioning approaches, efforts to date to improve market functioning have been too narrow. </w:t>
      </w:r>
    </w:p>
    <w:p w14:paraId="0A699E74" w14:textId="7BBF2120" w:rsidR="00EC5D71" w:rsidRPr="00B81B93" w:rsidRDefault="00EC5D71" w:rsidP="00B81B93">
      <w:pPr>
        <w:pStyle w:val="B1-Listbullets"/>
      </w:pPr>
      <w:r w:rsidRPr="00B81B93">
        <w:t xml:space="preserve">A more active and flexible role for governments, as stewards of the NDIS market, is needed. The Review is exploring how a range of market mechanisms could be applied and scaled up in the NDIS to address persistent market challenges. Even so, steps should be taken now to address the most pressing market gaps. </w:t>
      </w:r>
    </w:p>
    <w:p w14:paraId="10F07720" w14:textId="01208C9B" w:rsidR="00EC5D71" w:rsidRPr="00B81B93" w:rsidRDefault="00EC5D71" w:rsidP="00B81B93">
      <w:pPr>
        <w:pStyle w:val="B1-Listbullets"/>
      </w:pPr>
      <w:r w:rsidRPr="00B81B93">
        <w:t xml:space="preserve">Addressing market gaps for both remote and First Nations communities requires a different market approach that can better coordinate supports. In these cases, alternative commissioning arrangements that are placed-based and community driven could lower the cost of service delivery by offering service providers greater certainty of demand. This could also increase their ability to achieve scale and continuity of supply. </w:t>
      </w:r>
    </w:p>
    <w:p w14:paraId="322CB4FF" w14:textId="77777777" w:rsidR="00A970CD" w:rsidRDefault="00EC5D71" w:rsidP="00B81B93">
      <w:pPr>
        <w:pStyle w:val="B1-Listbullets"/>
      </w:pPr>
      <w:r w:rsidRPr="00B81B93">
        <w:t>Alternative commissioning arrangements would enable culturally appropriate supports to be delivered by a more localised workforce. These approaches could also improve outcomes for participants and drive a more sustainable care and support ecosystem over time.</w:t>
      </w:r>
    </w:p>
    <w:p w14:paraId="7416B5D4" w14:textId="69F494F7" w:rsidR="00EC5D71" w:rsidRPr="00A970CD" w:rsidRDefault="00A970CD" w:rsidP="00A970CD">
      <w:pPr>
        <w:spacing w:after="200" w:line="288" w:lineRule="auto"/>
        <w:rPr>
          <w:rFonts w:eastAsia="Times New Roman"/>
          <w:color w:val="092B57" w:themeColor="accent6"/>
          <w:sz w:val="20"/>
          <w:szCs w:val="24"/>
          <w:lang w:val="en-US"/>
        </w:rPr>
      </w:pPr>
      <w:r>
        <w:br w:type="page"/>
      </w:r>
    </w:p>
    <w:p w14:paraId="264A707E" w14:textId="138E5B3E" w:rsidR="00EC5D71" w:rsidRPr="00B81B93" w:rsidRDefault="00EC5D71" w:rsidP="00A970CD">
      <w:pPr>
        <w:pStyle w:val="B1-Listbullets"/>
      </w:pPr>
      <w:r w:rsidRPr="00B81B93">
        <w:lastRenderedPageBreak/>
        <w:t>Ongoing, meaningful and on-the-ground partnerships with First Nations representatives, communities and participants will be key to success. The National Agreement on Closing the Gap, its Priority Reforms and the Disability Sector Strengthening Plan offers a framework to progress alternative commissioning in genuine partnership with the First Nations people with disability, families, communities and organisations.</w:t>
      </w:r>
    </w:p>
    <w:p w14:paraId="3A2C8E26" w14:textId="77777777" w:rsidR="00B81B93" w:rsidRDefault="00B81B93" w:rsidP="00B81B93">
      <w:pPr>
        <w:pStyle w:val="B1-Listbullets"/>
      </w:pPr>
      <w:r w:rsidRPr="00B81B93">
        <w:t>Expanding too far, too fast is a significant risk. Time is needed to build commissioning capability and roll out alternative commissioning approaches across both remote and First Nations communities. Piloting approaches will help to understand what works and allow time to develop and strengthen community partnerships.</w:t>
      </w:r>
      <w:r>
        <w:t xml:space="preserve"> </w:t>
      </w:r>
    </w:p>
    <w:p w14:paraId="3172F55C" w14:textId="77777777" w:rsidR="00B81B93" w:rsidRDefault="00B81B93">
      <w:pPr>
        <w:spacing w:after="200" w:line="288" w:lineRule="auto"/>
        <w:rPr>
          <w:rFonts w:eastAsia="Times New Roman"/>
          <w:color w:val="092B57" w:themeColor="accent6"/>
          <w:szCs w:val="24"/>
          <w:lang w:val="en-US"/>
        </w:rPr>
      </w:pPr>
      <w:r>
        <w:br w:type="page"/>
      </w:r>
    </w:p>
    <w:p w14:paraId="2ECE073E" w14:textId="26A4526D" w:rsidR="00B81B93" w:rsidRPr="00E109FA" w:rsidRDefault="00B81B93" w:rsidP="00C93980">
      <w:pPr>
        <w:pStyle w:val="Heading2"/>
        <w:numPr>
          <w:ilvl w:val="0"/>
          <w:numId w:val="11"/>
        </w:numPr>
        <w:ind w:left="426" w:hanging="501"/>
      </w:pPr>
      <w:bookmarkStart w:id="2" w:name="_Toc136350274"/>
      <w:bookmarkStart w:id="3" w:name="_Toc136522396"/>
      <w:r w:rsidRPr="00B81B93">
        <w:lastRenderedPageBreak/>
        <w:t>Market</w:t>
      </w:r>
      <w:r>
        <w:t xml:space="preserve"> challenges limit the ability of the NDIS to deliver quality </w:t>
      </w:r>
      <w:r w:rsidRPr="00403DDD">
        <w:t>supports</w:t>
      </w:r>
      <w:r>
        <w:t xml:space="preserve"> for participants</w:t>
      </w:r>
      <w:bookmarkEnd w:id="2"/>
      <w:bookmarkEnd w:id="3"/>
    </w:p>
    <w:p w14:paraId="30F8A2A0" w14:textId="77777777" w:rsidR="00B81B93" w:rsidRDefault="00B81B93" w:rsidP="00B81B93">
      <w:r>
        <w:t xml:space="preserve">The NDIS </w:t>
      </w:r>
      <w:r w:rsidRPr="0088453A">
        <w:t>has transformed the way disability supports are delivered</w:t>
      </w:r>
      <w:r>
        <w:t xml:space="preserve">. </w:t>
      </w:r>
    </w:p>
    <w:p w14:paraId="4D83AA71" w14:textId="77777777" w:rsidR="00B81B93" w:rsidRDefault="00B81B93" w:rsidP="00B81B93">
      <w:r>
        <w:t xml:space="preserve">Shifting from a government, block-funded model to a market-based model with individualised funding has enabled NDIS participants to have choice and control over the providers they work with and, to the extent allowed within their individualised budgets, what supports they access. </w:t>
      </w:r>
    </w:p>
    <w:p w14:paraId="4F2E947B" w14:textId="796D28BF" w:rsidR="00804DDC" w:rsidRDefault="00B81B93" w:rsidP="00B81B93">
      <w:r w:rsidRPr="0065073E">
        <w:t>With this shift in funding also came a significant increase in scale and divers</w:t>
      </w:r>
      <w:r>
        <w:t>ity of demand for services. Significant</w:t>
      </w:r>
      <w:r w:rsidRPr="0065073E">
        <w:t xml:space="preserve"> market development has occurred</w:t>
      </w:r>
      <w:r>
        <w:t xml:space="preserve"> – over 350,000 participants are now receiving disability supports for the first time</w:t>
      </w:r>
      <w:r w:rsidR="00804DDC">
        <w:rPr>
          <w:rStyle w:val="EndnoteReference"/>
        </w:rPr>
        <w:endnoteReference w:id="2"/>
      </w:r>
      <w:r w:rsidR="00804DDC">
        <w:t>. But this growth has</w:t>
      </w:r>
      <w:r w:rsidR="00804DDC" w:rsidRPr="0065073E">
        <w:t xml:space="preserve"> not </w:t>
      </w:r>
      <w:r w:rsidR="00804DDC" w:rsidRPr="00F41FEC">
        <w:t xml:space="preserve">been </w:t>
      </w:r>
      <w:r w:rsidR="00804DDC">
        <w:t>sufficient</w:t>
      </w:r>
      <w:r w:rsidR="00804DDC" w:rsidRPr="00F41FEC">
        <w:t xml:space="preserve"> to s</w:t>
      </w:r>
      <w:r w:rsidR="00804DDC">
        <w:t>ecure access to quality services across all participants, supports and locations</w:t>
      </w:r>
      <w:r w:rsidR="00804DDC" w:rsidRPr="00F41FEC">
        <w:t>.</w:t>
      </w:r>
    </w:p>
    <w:p w14:paraId="49030DF2" w14:textId="77777777" w:rsidR="00804DDC" w:rsidRDefault="00804DDC" w:rsidP="00B81B93">
      <w:r>
        <w:t>Past reviews of the NDIS indicate a range of ongoing market challenges that reflect more than just transition issues (</w:t>
      </w:r>
      <w:r>
        <w:fldChar w:fldCharType="begin"/>
      </w:r>
      <w:r>
        <w:instrText xml:space="preserve"> REF _Ref124237186 \h </w:instrText>
      </w:r>
      <w:r>
        <w:fldChar w:fldCharType="separate"/>
      </w:r>
      <w:r>
        <w:t xml:space="preserve">Figure </w:t>
      </w:r>
      <w:r>
        <w:rPr>
          <w:noProof/>
        </w:rPr>
        <w:t>1</w:t>
      </w:r>
      <w:r>
        <w:fldChar w:fldCharType="end"/>
      </w:r>
      <w:r>
        <w:t xml:space="preserve">). </w:t>
      </w:r>
    </w:p>
    <w:p w14:paraId="153ADFE6" w14:textId="77777777" w:rsidR="00804DDC" w:rsidRDefault="00804DDC" w:rsidP="00B81B93">
      <w:r w:rsidRPr="00DF48E1">
        <w:t xml:space="preserve">Moving from block funding </w:t>
      </w:r>
      <w:r>
        <w:t>devolved</w:t>
      </w:r>
      <w:r w:rsidRPr="00DF48E1">
        <w:t xml:space="preserve"> responsibility for coordinating access to support from governments to individuals</w:t>
      </w:r>
      <w:r>
        <w:t xml:space="preserve"> and the market</w:t>
      </w:r>
      <w:r w:rsidRPr="00DF48E1">
        <w:t xml:space="preserve">. </w:t>
      </w:r>
      <w:r w:rsidRPr="00B61458">
        <w:t>The shift relied on individual participants, their families and market intermediaries having</w:t>
      </w:r>
      <w:r>
        <w:t xml:space="preserve"> the capacity and capability to do this in an already complex environment, with little (or at least unclear) protection for participants where markets fail. </w:t>
      </w:r>
    </w:p>
    <w:p w14:paraId="0EAC2C03" w14:textId="77777777" w:rsidR="00804DDC" w:rsidRDefault="00804DDC" w:rsidP="00B81B93">
      <w:r>
        <w:t xml:space="preserve">For some NDIS supports, competition between multiple service providers have not been able to effectively ensure access to supports for participants. It has been difficult for participants to find and match with suitable service providers, and for providers to achieve economies of scale and to ensure continuity </w:t>
      </w:r>
      <w:r w:rsidRPr="00297A69">
        <w:t>of supply</w:t>
      </w:r>
      <w:r>
        <w:t xml:space="preserve"> for these supports</w:t>
      </w:r>
      <w:r w:rsidRPr="00297A69">
        <w:t>.</w:t>
      </w:r>
    </w:p>
    <w:p w14:paraId="7E211E11" w14:textId="77777777" w:rsidR="00804DDC" w:rsidRDefault="00804DDC" w:rsidP="00B81B93">
      <w:r>
        <w:t xml:space="preserve">Thin markets – where the number of providers or participants is too small to support the competitive provision of services, or to support any provision </w:t>
      </w:r>
      <w:r w:rsidRPr="00E35975">
        <w:t>at all – have left some participants with limited, or no, access to supports or certain types of supports.</w:t>
      </w:r>
      <w:r w:rsidRPr="002208C3">
        <w:t xml:space="preserve"> </w:t>
      </w:r>
    </w:p>
    <w:p w14:paraId="578B6E1B" w14:textId="77777777" w:rsidR="00804DDC" w:rsidRDefault="00804DDC" w:rsidP="00B81B93">
      <w:r>
        <w:t>Under the</w:t>
      </w:r>
      <w:r w:rsidRPr="009B610A">
        <w:t xml:space="preserve"> current market</w:t>
      </w:r>
      <w:r>
        <w:t>-based</w:t>
      </w:r>
      <w:r w:rsidRPr="009B610A">
        <w:t xml:space="preserve"> approach</w:t>
      </w:r>
      <w:r>
        <w:t xml:space="preserve">, some mature participants are not accessing supports despite having the budget to do so. This is most stark in remote and very remote communities where over one in three mature participants – participants who have been in the NDIS for one or more years – are not accessing daily activity supports, and over one in four are not accessing therapy supports that assist with building skills and independence. </w:t>
      </w:r>
    </w:p>
    <w:p w14:paraId="1B0BEC6F" w14:textId="77777777" w:rsidR="00804DDC" w:rsidRDefault="00804DDC" w:rsidP="00B81B93">
      <w:r>
        <w:t>Markets for certain supports are also thin in non-remote areas, particularly for specialised services like behaviour supports and for First Nation participants to access culturally safe supports (</w:t>
      </w:r>
      <w:r>
        <w:fldChar w:fldCharType="begin"/>
      </w:r>
      <w:r>
        <w:instrText xml:space="preserve"> REF _Ref124237186 \h </w:instrText>
      </w:r>
      <w:r>
        <w:fldChar w:fldCharType="separate"/>
      </w:r>
      <w:r>
        <w:t xml:space="preserve">Figure </w:t>
      </w:r>
      <w:r>
        <w:rPr>
          <w:noProof/>
        </w:rPr>
        <w:t>1</w:t>
      </w:r>
      <w:r>
        <w:fldChar w:fldCharType="end"/>
      </w:r>
      <w:r>
        <w:t>).</w:t>
      </w:r>
    </w:p>
    <w:p w14:paraId="337A2402" w14:textId="77777777" w:rsidR="00804DDC" w:rsidRDefault="00804DDC" w:rsidP="00B81B93">
      <w:r>
        <w:lastRenderedPageBreak/>
        <w:t>As far back as 2017, the Productivity Commission found thin markets have been, and will continue to be, a persistent feature of the disability support sector. And in the absence of government intervention there will be greater shortages, less competition, and ultimately poorer outcomes for participants</w:t>
      </w:r>
      <w:r>
        <w:rPr>
          <w:rStyle w:val="EndnoteReference"/>
        </w:rPr>
        <w:endnoteReference w:id="3"/>
      </w:r>
      <w:r>
        <w:t xml:space="preserve">. </w:t>
      </w:r>
    </w:p>
    <w:p w14:paraId="6FC437B7" w14:textId="359AE9B7" w:rsidR="00804DDC" w:rsidRDefault="00804DDC" w:rsidP="00B81B93">
      <w:pPr>
        <w:pStyle w:val="Figure"/>
      </w:pPr>
      <w:bookmarkStart w:id="4" w:name="fig1"/>
      <w:bookmarkEnd w:id="4"/>
      <w:r w:rsidRPr="003759E0">
        <w:t>Current market challenges</w:t>
      </w:r>
      <w:r>
        <w:t xml:space="preserve"> are not</w:t>
      </w:r>
      <w:r w:rsidRPr="003759E0">
        <w:t xml:space="preserve"> just t</w:t>
      </w:r>
      <w:r>
        <w:t>ransition issues</w:t>
      </w:r>
      <w:r>
        <w:rPr>
          <w:rStyle w:val="EndnoteReference"/>
        </w:rPr>
        <w:endnoteReference w:id="4"/>
      </w:r>
    </w:p>
    <w:p w14:paraId="3F5FEA97" w14:textId="252616CF" w:rsidR="00804DDC" w:rsidRDefault="00804DDC" w:rsidP="00B81B93">
      <w:r>
        <w:rPr>
          <w:noProof/>
          <w:lang w:eastAsia="en-AU"/>
        </w:rPr>
        <w:drawing>
          <wp:inline distT="0" distB="0" distL="0" distR="0" wp14:anchorId="4145CF8D" wp14:editId="0F46F993">
            <wp:extent cx="5975948" cy="7000875"/>
            <wp:effectExtent l="0" t="0" r="6350" b="0"/>
            <wp:docPr id="12" name="Picture 12" descr="Figure1.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Figure 1.png"/>
                    <pic:cNvPicPr/>
                  </pic:nvPicPr>
                  <pic:blipFill>
                    <a:blip r:embed="rId21">
                      <a:extLst>
                        <a:ext uri="{28A0092B-C50C-407E-A947-70E740481C1C}">
                          <a14:useLocalDpi xmlns:a14="http://schemas.microsoft.com/office/drawing/2010/main" val="0"/>
                        </a:ext>
                      </a:extLst>
                    </a:blip>
                    <a:stretch>
                      <a:fillRect/>
                    </a:stretch>
                  </pic:blipFill>
                  <pic:spPr>
                    <a:xfrm>
                      <a:off x="0" y="0"/>
                      <a:ext cx="5986292" cy="7012993"/>
                    </a:xfrm>
                    <a:prstGeom prst="rect">
                      <a:avLst/>
                    </a:prstGeom>
                  </pic:spPr>
                </pic:pic>
              </a:graphicData>
            </a:graphic>
          </wp:inline>
        </w:drawing>
      </w:r>
    </w:p>
    <w:p w14:paraId="52B7B6A1" w14:textId="316049A8" w:rsidR="00804DDC" w:rsidRPr="0094053E" w:rsidRDefault="0094053E" w:rsidP="00B81B93">
      <w:pPr>
        <w:rPr>
          <w:rStyle w:val="Hyperlink"/>
          <w:rFonts w:asciiTheme="minorHAnsi" w:hAnsiTheme="minorHAnsi"/>
        </w:rPr>
      </w:pPr>
      <w:r>
        <w:fldChar w:fldCharType="begin"/>
      </w:r>
      <w:r>
        <w:instrText xml:space="preserve"> HYPERLINK  \l "_Figure_1_-" </w:instrText>
      </w:r>
      <w:r>
        <w:fldChar w:fldCharType="separate"/>
      </w:r>
      <w:r w:rsidRPr="0094053E">
        <w:rPr>
          <w:rStyle w:val="Hyperlink"/>
          <w:rFonts w:asciiTheme="minorHAnsi" w:hAnsiTheme="minorHAnsi"/>
        </w:rPr>
        <w:t>F</w:t>
      </w:r>
      <w:r w:rsidR="00804DDC" w:rsidRPr="0094053E">
        <w:rPr>
          <w:rStyle w:val="Hyperlink"/>
          <w:rFonts w:asciiTheme="minorHAnsi" w:hAnsiTheme="minorHAnsi"/>
        </w:rPr>
        <w:t>igure 1</w:t>
      </w:r>
      <w:r>
        <w:rPr>
          <w:rStyle w:val="Hyperlink"/>
          <w:rFonts w:asciiTheme="minorHAnsi" w:hAnsiTheme="minorHAnsi"/>
        </w:rPr>
        <w:t xml:space="preserve"> </w:t>
      </w:r>
      <w:r w:rsidRPr="0094053E">
        <w:rPr>
          <w:rStyle w:val="Hyperlink"/>
          <w:rFonts w:asciiTheme="minorHAnsi" w:hAnsiTheme="minorHAnsi"/>
        </w:rPr>
        <w:t>text description</w:t>
      </w:r>
    </w:p>
    <w:p w14:paraId="22A4F757" w14:textId="2D1D6EEE" w:rsidR="00804DDC" w:rsidRDefault="0094053E" w:rsidP="00E949E0">
      <w:pPr>
        <w:pStyle w:val="Figure"/>
      </w:pPr>
      <w:r>
        <w:rPr>
          <w:rFonts w:asciiTheme="minorHAnsi" w:hAnsiTheme="minorHAnsi" w:cstheme="minorBidi"/>
          <w:color w:val="auto"/>
        </w:rPr>
        <w:lastRenderedPageBreak/>
        <w:fldChar w:fldCharType="end"/>
      </w:r>
      <w:bookmarkStart w:id="5" w:name="fig2"/>
      <w:r w:rsidR="00804DDC">
        <w:t>P</w:t>
      </w:r>
      <w:r w:rsidR="00804DDC" w:rsidRPr="00747413">
        <w:t>articipants</w:t>
      </w:r>
      <w:r w:rsidR="00804DDC">
        <w:t>,</w:t>
      </w:r>
      <w:r w:rsidR="00804DDC" w:rsidRPr="00747413">
        <w:t xml:space="preserve"> who </w:t>
      </w:r>
      <w:r w:rsidR="00804DDC">
        <w:t xml:space="preserve">have been in scheme for over a year, </w:t>
      </w:r>
      <w:r w:rsidR="00804DDC" w:rsidRPr="00747413">
        <w:t xml:space="preserve">are </w:t>
      </w:r>
      <w:r w:rsidR="00804DDC">
        <w:t xml:space="preserve">still </w:t>
      </w:r>
      <w:r w:rsidR="00804DDC" w:rsidRPr="00747413">
        <w:t xml:space="preserve">not accessing the supports they </w:t>
      </w:r>
      <w:r w:rsidR="00804DDC">
        <w:t>need</w:t>
      </w:r>
      <w:r w:rsidR="00804DDC">
        <w:rPr>
          <w:rStyle w:val="EndnoteReference"/>
        </w:rPr>
        <w:endnoteReference w:id="5"/>
      </w:r>
    </w:p>
    <w:bookmarkEnd w:id="5"/>
    <w:p w14:paraId="55234D3D" w14:textId="374BA4CC" w:rsidR="00804DDC" w:rsidRDefault="00804DDC" w:rsidP="00E949E0">
      <w:r>
        <w:rPr>
          <w:noProof/>
          <w:lang w:eastAsia="en-AU"/>
        </w:rPr>
        <w:drawing>
          <wp:inline distT="0" distB="0" distL="0" distR="0" wp14:anchorId="6BFE0916" wp14:editId="4F0C72C7">
            <wp:extent cx="5753100" cy="3245446"/>
            <wp:effectExtent l="0" t="0" r="0" b="0"/>
            <wp:docPr id="13" name="Picture 13" descr="Figure 2.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Figure 2.png"/>
                    <pic:cNvPicPr/>
                  </pic:nvPicPr>
                  <pic:blipFill>
                    <a:blip r:embed="rId22">
                      <a:extLst>
                        <a:ext uri="{28A0092B-C50C-407E-A947-70E740481C1C}">
                          <a14:useLocalDpi xmlns:a14="http://schemas.microsoft.com/office/drawing/2010/main" val="0"/>
                        </a:ext>
                      </a:extLst>
                    </a:blip>
                    <a:stretch>
                      <a:fillRect/>
                    </a:stretch>
                  </pic:blipFill>
                  <pic:spPr>
                    <a:xfrm>
                      <a:off x="0" y="0"/>
                      <a:ext cx="5759165" cy="3248868"/>
                    </a:xfrm>
                    <a:prstGeom prst="rect">
                      <a:avLst/>
                    </a:prstGeom>
                  </pic:spPr>
                </pic:pic>
              </a:graphicData>
            </a:graphic>
          </wp:inline>
        </w:drawing>
      </w:r>
    </w:p>
    <w:p w14:paraId="7F8FB720" w14:textId="77777777" w:rsidR="00804DDC" w:rsidRPr="00DF335E" w:rsidRDefault="00804DDC" w:rsidP="00DF335E">
      <w:pPr>
        <w:pStyle w:val="00-Bodytable"/>
        <w:rPr>
          <w:i/>
        </w:rPr>
      </w:pPr>
      <w:r w:rsidRPr="00DF335E">
        <w:rPr>
          <w:i/>
        </w:rPr>
        <w:t>Note: This data is provided at 31 December 2022, allowing for a 3-month payment lag. It excludes in-kind supports.</w:t>
      </w:r>
    </w:p>
    <w:p w14:paraId="051956CA" w14:textId="4DDA4967" w:rsidR="00804DDC" w:rsidRDefault="00050BFB" w:rsidP="001D73FE">
      <w:hyperlink w:anchor="_Figure_2_-" w:history="1">
        <w:r w:rsidR="0094053E" w:rsidRPr="0094053E">
          <w:rPr>
            <w:rStyle w:val="Hyperlink"/>
            <w:rFonts w:asciiTheme="minorHAnsi" w:hAnsiTheme="minorHAnsi"/>
          </w:rPr>
          <w:t>F</w:t>
        </w:r>
        <w:r w:rsidR="00804DDC" w:rsidRPr="0094053E">
          <w:rPr>
            <w:rStyle w:val="Hyperlink"/>
            <w:rFonts w:asciiTheme="minorHAnsi" w:hAnsiTheme="minorHAnsi"/>
          </w:rPr>
          <w:t>igure 2</w:t>
        </w:r>
        <w:r w:rsidR="0094053E" w:rsidRPr="0094053E">
          <w:rPr>
            <w:rStyle w:val="Hyperlink"/>
            <w:rFonts w:asciiTheme="minorHAnsi" w:hAnsiTheme="minorHAnsi"/>
          </w:rPr>
          <w:t xml:space="preserve"> text description</w:t>
        </w:r>
      </w:hyperlink>
    </w:p>
    <w:p w14:paraId="60B5E336" w14:textId="77777777" w:rsidR="00804DDC" w:rsidRDefault="00804DDC" w:rsidP="00DF335E">
      <w:pPr>
        <w:pStyle w:val="Heading3"/>
      </w:pPr>
      <w:bookmarkStart w:id="6" w:name="_Toc124362724"/>
      <w:bookmarkStart w:id="7" w:name="_Toc124412355"/>
      <w:bookmarkStart w:id="8" w:name="_Toc124424841"/>
      <w:bookmarkStart w:id="9" w:name="_Toc124445168"/>
      <w:bookmarkStart w:id="10" w:name="_Toc124455996"/>
      <w:r w:rsidRPr="00DD155D">
        <w:t>Wha</w:t>
      </w:r>
      <w:r>
        <w:t>t does this mean for government</w:t>
      </w:r>
      <w:r w:rsidRPr="00DD155D">
        <w:t>s as market steward</w:t>
      </w:r>
      <w:r>
        <w:t>s</w:t>
      </w:r>
      <w:r w:rsidRPr="00DD155D">
        <w:t>?</w:t>
      </w:r>
      <w:bookmarkEnd w:id="6"/>
      <w:bookmarkEnd w:id="7"/>
      <w:bookmarkEnd w:id="8"/>
      <w:bookmarkEnd w:id="9"/>
      <w:bookmarkEnd w:id="10"/>
    </w:p>
    <w:p w14:paraId="3CDA7BB7" w14:textId="77777777" w:rsidR="00804DDC" w:rsidRDefault="00804DDC" w:rsidP="00DF335E">
      <w:bookmarkStart w:id="11" w:name="_Toc124445169"/>
      <w:bookmarkStart w:id="12" w:name="_Toc124455997"/>
      <w:bookmarkStart w:id="13" w:name="_Ref124237242"/>
      <w:r w:rsidRPr="00F4718B">
        <w:t xml:space="preserve">Governments’ stewardship </w:t>
      </w:r>
      <w:r>
        <w:t xml:space="preserve">role in the NDIS, and other social </w:t>
      </w:r>
      <w:r w:rsidRPr="00F4718B">
        <w:t>services</w:t>
      </w:r>
      <w:r>
        <w:t xml:space="preserve"> (such as community housing services) is broad. They have a role in supporting informed participant choice, access to quality supports, ongoing service improvements, and ensuring appropriate safeguards are in place (</w:t>
      </w:r>
      <w:r w:rsidRPr="00881DE5">
        <w:t>Figure 3)</w:t>
      </w:r>
      <w:r w:rsidRPr="00F4718B">
        <w:t>.</w:t>
      </w:r>
      <w:bookmarkEnd w:id="11"/>
      <w:bookmarkEnd w:id="12"/>
    </w:p>
    <w:bookmarkEnd w:id="13"/>
    <w:p w14:paraId="24C8E0F1" w14:textId="5B7A6535" w:rsidR="00804DDC" w:rsidRDefault="00804DDC" w:rsidP="00DF335E">
      <w:pPr>
        <w:pStyle w:val="Figure"/>
      </w:pPr>
      <w:r w:rsidRPr="001467BC">
        <w:t>What is the role of market stewards</w:t>
      </w:r>
      <w:r>
        <w:t xml:space="preserve"> in the delivery of social services</w:t>
      </w:r>
      <w:r w:rsidRPr="001467BC">
        <w:t>?</w:t>
      </w:r>
    </w:p>
    <w:p w14:paraId="124DADC9" w14:textId="592375A6" w:rsidR="00804DDC" w:rsidRDefault="00804DDC" w:rsidP="001D73FE">
      <w:r>
        <w:rPr>
          <w:noProof/>
          <w:lang w:eastAsia="en-AU"/>
        </w:rPr>
        <w:drawing>
          <wp:inline distT="0" distB="0" distL="0" distR="0" wp14:anchorId="4065470F" wp14:editId="2EDC0EBC">
            <wp:extent cx="4799615" cy="1905000"/>
            <wp:effectExtent l="0" t="0" r="1270" b="0"/>
            <wp:docPr id="16" name="Picture 16" descr="Role of market stewards in the delivery of social services: 1. Supporting informed choices; 2. Ensuring ‘access to quality supports’; 3.  Ongoing service improvement and innovation; 4. Ensuring appropriate ‘safeguards’ are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Figure 3.png"/>
                    <pic:cNvPicPr/>
                  </pic:nvPicPr>
                  <pic:blipFill>
                    <a:blip r:embed="rId23">
                      <a:extLst>
                        <a:ext uri="{28A0092B-C50C-407E-A947-70E740481C1C}">
                          <a14:useLocalDpi xmlns:a14="http://schemas.microsoft.com/office/drawing/2010/main" val="0"/>
                        </a:ext>
                      </a:extLst>
                    </a:blip>
                    <a:stretch>
                      <a:fillRect/>
                    </a:stretch>
                  </pic:blipFill>
                  <pic:spPr>
                    <a:xfrm>
                      <a:off x="0" y="0"/>
                      <a:ext cx="4886754" cy="1939586"/>
                    </a:xfrm>
                    <a:prstGeom prst="rect">
                      <a:avLst/>
                    </a:prstGeom>
                  </pic:spPr>
                </pic:pic>
              </a:graphicData>
            </a:graphic>
          </wp:inline>
        </w:drawing>
      </w:r>
    </w:p>
    <w:p w14:paraId="5D315161" w14:textId="77777777" w:rsidR="00804DDC" w:rsidRDefault="00804DDC" w:rsidP="00DF335E">
      <w:r w:rsidRPr="00234562">
        <w:lastRenderedPageBreak/>
        <w:t xml:space="preserve">Even when using market-driven service delivery approaches, governments </w:t>
      </w:r>
      <w:r>
        <w:t xml:space="preserve">(as market stewards) </w:t>
      </w:r>
      <w:r w:rsidRPr="00234562">
        <w:t>retain</w:t>
      </w:r>
      <w:r w:rsidRPr="00BD492C">
        <w:t xml:space="preserve"> responsibility for ensuring </w:t>
      </w:r>
      <w:r>
        <w:t xml:space="preserve">the NDIS, as a whole, </w:t>
      </w:r>
      <w:r w:rsidRPr="00BD492C">
        <w:t>deliver</w:t>
      </w:r>
      <w:r>
        <w:t>s</w:t>
      </w:r>
      <w:r w:rsidRPr="00BD492C">
        <w:t xml:space="preserve"> the intended </w:t>
      </w:r>
      <w:r w:rsidRPr="00234562">
        <w:t>outcomes</w:t>
      </w:r>
      <w:r>
        <w:t xml:space="preserve"> for all participants</w:t>
      </w:r>
      <w:r w:rsidRPr="00234562">
        <w:t>.</w:t>
      </w:r>
      <w:r>
        <w:t xml:space="preserve"> </w:t>
      </w:r>
    </w:p>
    <w:p w14:paraId="480BE4FB" w14:textId="77777777" w:rsidR="00804DDC" w:rsidRDefault="00804DDC" w:rsidP="00DF335E">
      <w:r>
        <w:t xml:space="preserve">As highlighted above, while the </w:t>
      </w:r>
      <w:r w:rsidRPr="00021632">
        <w:t xml:space="preserve">NDIS has improved outcomes </w:t>
      </w:r>
      <w:r>
        <w:t>for</w:t>
      </w:r>
      <w:r w:rsidRPr="00021632">
        <w:t xml:space="preserve"> many participant</w:t>
      </w:r>
      <w:r>
        <w:t>s, the rigidity in the current market approach is leaving others behind</w:t>
      </w:r>
      <w:r w:rsidRPr="00021632">
        <w:t>.</w:t>
      </w:r>
      <w:r>
        <w:t xml:space="preserve"> Lack of clear roles and responsibilities across governments are also hindering coordination of market stewardship efforts</w:t>
      </w:r>
      <w:r>
        <w:rPr>
          <w:rStyle w:val="EndnoteReference"/>
        </w:rPr>
        <w:endnoteReference w:id="6"/>
      </w:r>
      <w:r>
        <w:t>.</w:t>
      </w:r>
    </w:p>
    <w:p w14:paraId="0B5C5CDC" w14:textId="77777777" w:rsidR="00804DDC" w:rsidRDefault="00804DDC" w:rsidP="00DF335E">
      <w:r>
        <w:t xml:space="preserve">The </w:t>
      </w:r>
      <w:r w:rsidRPr="002E760C">
        <w:t xml:space="preserve">NDIS </w:t>
      </w:r>
      <w:r>
        <w:t xml:space="preserve">is </w:t>
      </w:r>
      <w:r w:rsidRPr="002E760C">
        <w:t>not one market</w:t>
      </w:r>
      <w:r>
        <w:t xml:space="preserve">, but </w:t>
      </w:r>
      <w:r w:rsidRPr="002E760C">
        <w:t>a complex system of ‘sub-ma</w:t>
      </w:r>
      <w:r>
        <w:t>rkets’</w:t>
      </w:r>
      <w:r w:rsidRPr="002E760C">
        <w:t>.</w:t>
      </w:r>
      <w:r>
        <w:t xml:space="preserve"> For the NDIS to deliver outcomes for participants, there is no one-size-fits-all approach to service delivery or market stewardship. </w:t>
      </w:r>
    </w:p>
    <w:p w14:paraId="71631812" w14:textId="77777777" w:rsidR="00804DDC" w:rsidRDefault="00804DDC" w:rsidP="00DF335E">
      <w:r>
        <w:t>For each sub-market, m</w:t>
      </w:r>
      <w:r w:rsidRPr="00553ADC">
        <w:t>arket stewards</w:t>
      </w:r>
      <w:r>
        <w:t xml:space="preserve"> need to </w:t>
      </w:r>
      <w:r w:rsidRPr="00553ADC">
        <w:t>design a service delivery approach that reflects the nature of NDIS participants, supports and providers (</w:t>
      </w:r>
      <w:r>
        <w:fldChar w:fldCharType="begin"/>
      </w:r>
      <w:r>
        <w:instrText xml:space="preserve"> REF _Ref124237314 \h </w:instrText>
      </w:r>
      <w:r>
        <w:fldChar w:fldCharType="separate"/>
      </w:r>
      <w:r>
        <w:t xml:space="preserve">Figure </w:t>
      </w:r>
      <w:r>
        <w:rPr>
          <w:noProof/>
        </w:rPr>
        <w:t>4</w:t>
      </w:r>
      <w:r>
        <w:fldChar w:fldCharType="end"/>
      </w:r>
      <w:r w:rsidRPr="00553ADC">
        <w:t>).</w:t>
      </w:r>
      <w:r>
        <w:t xml:space="preserve"> </w:t>
      </w:r>
    </w:p>
    <w:p w14:paraId="019F5491" w14:textId="261D24D7" w:rsidR="00804DDC" w:rsidRDefault="00804DDC" w:rsidP="00DF335E">
      <w:pPr>
        <w:pStyle w:val="Figure"/>
      </w:pPr>
      <w:bookmarkStart w:id="14" w:name="fig4"/>
      <w:r>
        <w:t>Designing an effective service delivery</w:t>
      </w:r>
      <w:r w:rsidRPr="000A4AD2">
        <w:t xml:space="preserve"> ap</w:t>
      </w:r>
      <w:r>
        <w:t>pr</w:t>
      </w:r>
      <w:r w:rsidRPr="000A4AD2">
        <w:t>oach</w:t>
      </w:r>
      <w:r>
        <w:t xml:space="preserve"> for social services requires an understanding of the characteristics of participants, supports and providers</w:t>
      </w:r>
    </w:p>
    <w:bookmarkEnd w:id="14"/>
    <w:p w14:paraId="766BC7FC" w14:textId="343CE8C0" w:rsidR="00804DDC" w:rsidRDefault="00804DDC">
      <w:pPr>
        <w:spacing w:after="200" w:line="288" w:lineRule="auto"/>
        <w:rPr>
          <w:rFonts w:eastAsiaTheme="majorEastAsia"/>
        </w:rPr>
      </w:pPr>
      <w:r>
        <w:rPr>
          <w:rFonts w:eastAsiaTheme="majorEastAsia"/>
          <w:noProof/>
          <w:lang w:eastAsia="en-AU"/>
        </w:rPr>
        <w:drawing>
          <wp:inline distT="0" distB="0" distL="0" distR="0" wp14:anchorId="19FF4A85" wp14:editId="3243AB83">
            <wp:extent cx="5686425" cy="4635044"/>
            <wp:effectExtent l="0" t="0" r="0" b="0"/>
            <wp:docPr id="17" name="Picture 17" descr="Figure 4.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Figure 4.png"/>
                    <pic:cNvPicPr/>
                  </pic:nvPicPr>
                  <pic:blipFill>
                    <a:blip r:embed="rId24">
                      <a:extLst>
                        <a:ext uri="{28A0092B-C50C-407E-A947-70E740481C1C}">
                          <a14:useLocalDpi xmlns:a14="http://schemas.microsoft.com/office/drawing/2010/main" val="0"/>
                        </a:ext>
                      </a:extLst>
                    </a:blip>
                    <a:stretch>
                      <a:fillRect/>
                    </a:stretch>
                  </pic:blipFill>
                  <pic:spPr>
                    <a:xfrm>
                      <a:off x="0" y="0"/>
                      <a:ext cx="5704838" cy="4650053"/>
                    </a:xfrm>
                    <a:prstGeom prst="rect">
                      <a:avLst/>
                    </a:prstGeom>
                  </pic:spPr>
                </pic:pic>
              </a:graphicData>
            </a:graphic>
          </wp:inline>
        </w:drawing>
      </w:r>
    </w:p>
    <w:p w14:paraId="0760E1BD" w14:textId="4DB87791" w:rsidR="00804DDC" w:rsidRDefault="00050BFB" w:rsidP="00D64D30">
      <w:hyperlink w:anchor="_Figure_4_-SmartArt" w:history="1">
        <w:r w:rsidR="0058742C" w:rsidRPr="0058742C">
          <w:rPr>
            <w:rStyle w:val="Hyperlink"/>
            <w:rFonts w:asciiTheme="minorHAnsi" w:hAnsiTheme="minorHAnsi"/>
          </w:rPr>
          <w:t xml:space="preserve">Figure </w:t>
        </w:r>
        <w:r w:rsidR="00804DDC" w:rsidRPr="0058742C">
          <w:rPr>
            <w:rStyle w:val="Hyperlink"/>
            <w:rFonts w:asciiTheme="minorHAnsi" w:hAnsiTheme="minorHAnsi"/>
          </w:rPr>
          <w:t>4</w:t>
        </w:r>
        <w:r w:rsidR="0058742C" w:rsidRPr="0058742C">
          <w:rPr>
            <w:rStyle w:val="Hyperlink"/>
            <w:rFonts w:asciiTheme="minorHAnsi" w:hAnsiTheme="minorHAnsi"/>
          </w:rPr>
          <w:t xml:space="preserve"> text description</w:t>
        </w:r>
      </w:hyperlink>
    </w:p>
    <w:p w14:paraId="6879DDA7" w14:textId="77777777" w:rsidR="00804DDC" w:rsidRDefault="00804DDC" w:rsidP="00D64D30">
      <w:r>
        <w:lastRenderedPageBreak/>
        <w:t>Service delivery approaches may differ, for example, across:</w:t>
      </w:r>
    </w:p>
    <w:p w14:paraId="263931C0" w14:textId="77777777" w:rsidR="00804DDC" w:rsidRDefault="00804DDC" w:rsidP="00D64D30">
      <w:pPr>
        <w:pStyle w:val="Listbullets-Level1"/>
      </w:pPr>
      <w:r>
        <w:t>Assistive technology and other capital supports – these supports are often one-off in nature. Participants and regulators can more easily monitor and compare quality.</w:t>
      </w:r>
    </w:p>
    <w:p w14:paraId="7B3663AB" w14:textId="77777777" w:rsidR="00804DDC" w:rsidRDefault="00804DDC" w:rsidP="00D64D30">
      <w:pPr>
        <w:pStyle w:val="Listbullets-Level1"/>
      </w:pPr>
      <w:r>
        <w:t>Capacity building supports – these supports depend heavily on trusted relationships to be delivered. Providers are also likely to have opportunities to deliver in other sectors, such as health and aged care.</w:t>
      </w:r>
    </w:p>
    <w:p w14:paraId="709A9DEA" w14:textId="77777777" w:rsidR="00804DDC" w:rsidRDefault="00804DDC" w:rsidP="00D64D30">
      <w:pPr>
        <w:pStyle w:val="Listbullets-Level1"/>
      </w:pPr>
      <w:r>
        <w:t xml:space="preserve">Core supports – these supports (particularly for personal care) also depend heavily relationships, and support needs can vary across participants (for example, between children and adults). Typically these </w:t>
      </w:r>
      <w:r w:rsidRPr="003700F1">
        <w:t xml:space="preserve">are ongoing and need to be delivered face-to-face. Often </w:t>
      </w:r>
      <w:r>
        <w:t>limited</w:t>
      </w:r>
      <w:r w:rsidRPr="003700F1">
        <w:t xml:space="preserve"> scope </w:t>
      </w:r>
      <w:r>
        <w:t>exists for</w:t>
      </w:r>
      <w:r w:rsidRPr="003700F1">
        <w:t xml:space="preserve"> multiple providers in remote contexts.</w:t>
      </w:r>
    </w:p>
    <w:p w14:paraId="76A91184" w14:textId="77777777" w:rsidR="00804DDC" w:rsidRDefault="00804DDC" w:rsidP="00D64D30">
      <w:pPr>
        <w:pStyle w:val="Listbullets-Level1"/>
      </w:pPr>
      <w:r>
        <w:t xml:space="preserve">Communities – Different communities may share different attitudes, beliefs and values. </w:t>
      </w:r>
      <w:r w:rsidRPr="003700F1">
        <w:t>Trust</w:t>
      </w:r>
      <w:r>
        <w:t>, cultural safety and trauma-informed approaches will be critical for delivering</w:t>
      </w:r>
      <w:r w:rsidRPr="003700F1">
        <w:t xml:space="preserve"> quality and safe supports. </w:t>
      </w:r>
    </w:p>
    <w:p w14:paraId="4F11EA5D" w14:textId="77777777" w:rsidR="00804DDC" w:rsidRDefault="00804DDC" w:rsidP="00D64D30">
      <w:r>
        <w:t>A</w:t>
      </w:r>
      <w:r w:rsidRPr="003700F1">
        <w:t xml:space="preserve">n understanding of </w:t>
      </w:r>
      <w:r w:rsidRPr="00553ADC">
        <w:t>participants, supports and providers</w:t>
      </w:r>
      <w:r>
        <w:t xml:space="preserve"> can also help market stewards to consider which market-based tools – such as competition, and contestability – may drive the best outcomes for participants and governments (Figure 5).</w:t>
      </w:r>
    </w:p>
    <w:p w14:paraId="7D58E3E6" w14:textId="77777777" w:rsidR="00804DDC" w:rsidRDefault="00804DDC" w:rsidP="00D64D30">
      <w:pPr>
        <w:pStyle w:val="Heading3"/>
      </w:pPr>
      <w:bookmarkStart w:id="15" w:name="_Toc124445170"/>
      <w:bookmarkStart w:id="16" w:name="_Toc124455998"/>
      <w:r>
        <w:t>Choice, competition and contestability in the NDIS</w:t>
      </w:r>
      <w:bookmarkEnd w:id="15"/>
      <w:bookmarkEnd w:id="16"/>
    </w:p>
    <w:p w14:paraId="562BE0E5" w14:textId="77777777" w:rsidR="00804DDC" w:rsidRDefault="00804DDC" w:rsidP="00D64D30">
      <w:r>
        <w:t xml:space="preserve">Choice and control has been foundational to the design of the NDIS. Informed choice empowers participants to have greater control over their lives. </w:t>
      </w:r>
    </w:p>
    <w:p w14:paraId="6C5F9239" w14:textId="77777777" w:rsidR="00804DDC" w:rsidRDefault="00804DDC" w:rsidP="00D64D30">
      <w:r>
        <w:t>When markets function well, competition between providers can offer more choice to participants, and help deliver more effective supports and better outcomes for NDIS participants. Participants can choose to leave poor performing providers who deliver low quality, low value or potentially unsafe services, and shift their funding to providers who deliver safe, high quality supports that are better value for money. In this way, competition in markets can help achieve the mix of supports and providers valued most by participants.</w:t>
      </w:r>
    </w:p>
    <w:p w14:paraId="2979772A" w14:textId="77777777" w:rsidR="00804DDC" w:rsidRPr="005E2A86" w:rsidRDefault="00804DDC" w:rsidP="00D64D30">
      <w:r>
        <w:t xml:space="preserve">The first decade of the NDIS has been characterised by the assumption that, once mature, the market for disability services will function well. In practice, </w:t>
      </w:r>
      <w:r w:rsidRPr="005E2A86">
        <w:t xml:space="preserve">this has not </w:t>
      </w:r>
      <w:r>
        <w:t>happened</w:t>
      </w:r>
      <w:r w:rsidRPr="005E2A86">
        <w:t xml:space="preserve"> for all </w:t>
      </w:r>
      <w:r>
        <w:t>participants and support types</w:t>
      </w:r>
      <w:r w:rsidRPr="005E2A86">
        <w:t xml:space="preserve">. </w:t>
      </w:r>
    </w:p>
    <w:p w14:paraId="33DD53CF" w14:textId="77777777" w:rsidR="00804DDC" w:rsidRPr="005E2A86" w:rsidRDefault="00804DDC" w:rsidP="00D64D30">
      <w:r>
        <w:t xml:space="preserve">There are many reasons why a market may not work. Equally, there a lots of ways government can ‘intervene’ to improve how NDIS markets function and, ultimately, improve outcomes. </w:t>
      </w:r>
    </w:p>
    <w:p w14:paraId="4CE505F6" w14:textId="77777777" w:rsidR="00804DDC" w:rsidRDefault="00804DDC" w:rsidP="00D64D30">
      <w:r>
        <w:t>Market s</w:t>
      </w:r>
      <w:r w:rsidRPr="005E2A86">
        <w:t>tewards can use a number of tool</w:t>
      </w:r>
      <w:r>
        <w:t>s</w:t>
      </w:r>
      <w:r w:rsidRPr="005E2A86">
        <w:t xml:space="preserve"> or ‘market mechanisms’ </w:t>
      </w:r>
      <w:r>
        <w:t>to underpin</w:t>
      </w:r>
      <w:r w:rsidRPr="005E2A86">
        <w:t xml:space="preserve"> a competitive market </w:t>
      </w:r>
      <w:r>
        <w:t xml:space="preserve">approach. This </w:t>
      </w:r>
      <w:r w:rsidRPr="002D080E">
        <w:t>includ</w:t>
      </w:r>
      <w:r>
        <w:t>es</w:t>
      </w:r>
      <w:r w:rsidRPr="002D080E">
        <w:t xml:space="preserve"> market coordination</w:t>
      </w:r>
      <w:r w:rsidRPr="0092228E">
        <w:t xml:space="preserve"> and market setting arrangements (Figure 5). </w:t>
      </w:r>
      <w:r>
        <w:t>For example, p</w:t>
      </w:r>
      <w:r w:rsidRPr="0092228E">
        <w:t xml:space="preserve">rice caps is </w:t>
      </w:r>
      <w:r>
        <w:t>a</w:t>
      </w:r>
      <w:r w:rsidRPr="0092228E">
        <w:t xml:space="preserve"> key market too</w:t>
      </w:r>
      <w:r>
        <w:t>ls</w:t>
      </w:r>
      <w:r w:rsidRPr="0092228E">
        <w:t xml:space="preserve"> currently use</w:t>
      </w:r>
      <w:r>
        <w:t>d by the NDIA in its market stewardship role.</w:t>
      </w:r>
    </w:p>
    <w:p w14:paraId="1FB9D8C1" w14:textId="427448B7" w:rsidR="00804DDC" w:rsidRPr="00D64D30" w:rsidRDefault="00804DDC" w:rsidP="00D64D30">
      <w:pPr>
        <w:pStyle w:val="Figure"/>
        <w:rPr>
          <w:rFonts w:eastAsiaTheme="majorEastAsia"/>
        </w:rPr>
      </w:pPr>
      <w:bookmarkStart w:id="17" w:name="fig5"/>
      <w:r>
        <w:lastRenderedPageBreak/>
        <w:t xml:space="preserve">Market stewards have a range of market tools to </w:t>
      </w:r>
      <w:r w:rsidRPr="0016438E">
        <w:t xml:space="preserve">help ensure the </w:t>
      </w:r>
      <w:r>
        <w:t>effective delivery</w:t>
      </w:r>
      <w:r w:rsidRPr="0016438E">
        <w:t xml:space="preserve"> of supports</w:t>
      </w:r>
      <w:r>
        <w:t xml:space="preserve"> and, ultimately, outcomes for participants</w:t>
      </w:r>
    </w:p>
    <w:bookmarkEnd w:id="17"/>
    <w:p w14:paraId="02166EEC" w14:textId="0ED10172" w:rsidR="00804DDC" w:rsidRPr="00D64D30" w:rsidRDefault="00804DDC" w:rsidP="00D64D30">
      <w:pPr>
        <w:rPr>
          <w:rFonts w:eastAsiaTheme="majorEastAsia"/>
        </w:rPr>
      </w:pPr>
      <w:r>
        <w:rPr>
          <w:rFonts w:eastAsiaTheme="majorEastAsia"/>
          <w:noProof/>
          <w:lang w:eastAsia="en-AU"/>
        </w:rPr>
        <w:drawing>
          <wp:inline distT="0" distB="0" distL="0" distR="0" wp14:anchorId="03313960" wp14:editId="380E669E">
            <wp:extent cx="6120130" cy="7382510"/>
            <wp:effectExtent l="0" t="0" r="0" b="8890"/>
            <wp:docPr id="18" name="Picture 18" descr="Figure 5.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Figure 5.png"/>
                    <pic:cNvPicPr/>
                  </pic:nvPicPr>
                  <pic:blipFill>
                    <a:blip r:embed="rId25">
                      <a:extLst>
                        <a:ext uri="{28A0092B-C50C-407E-A947-70E740481C1C}">
                          <a14:useLocalDpi xmlns:a14="http://schemas.microsoft.com/office/drawing/2010/main" val="0"/>
                        </a:ext>
                      </a:extLst>
                    </a:blip>
                    <a:stretch>
                      <a:fillRect/>
                    </a:stretch>
                  </pic:blipFill>
                  <pic:spPr>
                    <a:xfrm>
                      <a:off x="0" y="0"/>
                      <a:ext cx="6120130" cy="7382510"/>
                    </a:xfrm>
                    <a:prstGeom prst="rect">
                      <a:avLst/>
                    </a:prstGeom>
                  </pic:spPr>
                </pic:pic>
              </a:graphicData>
            </a:graphic>
          </wp:inline>
        </w:drawing>
      </w:r>
    </w:p>
    <w:p w14:paraId="3CE9F147" w14:textId="1C5E19A1" w:rsidR="00804DDC" w:rsidRDefault="00804DDC" w:rsidP="00D64D30">
      <w:pPr>
        <w:pStyle w:val="00-Bodytable"/>
        <w:rPr>
          <w:i/>
        </w:rPr>
      </w:pPr>
      <w:r w:rsidRPr="00D64D30">
        <w:rPr>
          <w:i/>
        </w:rPr>
        <w:t>Note: Adapted from the 2019 NDIS Thin Markets Project – Approach to Thin Markets Final Report</w:t>
      </w:r>
      <w:r w:rsidRPr="00D64D30">
        <w:rPr>
          <w:rStyle w:val="EndnoteReference"/>
          <w:i/>
        </w:rPr>
        <w:endnoteReference w:id="7"/>
      </w:r>
      <w:r w:rsidRPr="00D64D30">
        <w:rPr>
          <w:i/>
        </w:rPr>
        <w:t>.</w:t>
      </w:r>
    </w:p>
    <w:p w14:paraId="1D6C4670" w14:textId="05938B10" w:rsidR="0058742C" w:rsidRDefault="00050BFB" w:rsidP="0058742C">
      <w:hyperlink w:anchor="_Figure_5_-" w:history="1">
        <w:r w:rsidR="0058742C" w:rsidRPr="0058742C">
          <w:rPr>
            <w:rStyle w:val="Hyperlink"/>
            <w:rFonts w:asciiTheme="minorHAnsi" w:hAnsiTheme="minorHAnsi"/>
          </w:rPr>
          <w:t>Figure 5 text description</w:t>
        </w:r>
      </w:hyperlink>
    </w:p>
    <w:p w14:paraId="6109F028" w14:textId="77777777" w:rsidR="0058742C" w:rsidRPr="00D64D30" w:rsidRDefault="0058742C" w:rsidP="00D64D30">
      <w:pPr>
        <w:pStyle w:val="00-Bodytable"/>
        <w:rPr>
          <w:i/>
        </w:rPr>
      </w:pPr>
    </w:p>
    <w:p w14:paraId="2188387D" w14:textId="77777777" w:rsidR="00804DDC" w:rsidRDefault="00804DDC" w:rsidP="00D64D30">
      <w:r>
        <w:t>However, c</w:t>
      </w:r>
      <w:r w:rsidRPr="0092228E">
        <w:t>ompetition between multiple service providers is not always possible</w:t>
      </w:r>
      <w:r>
        <w:t xml:space="preserve">. In these cases, contestable arrangements can be used to select providers (using ‘alternative commissioning’ arrangements) to </w:t>
      </w:r>
      <w:r w:rsidRPr="00053A02">
        <w:t>improve the operation of the market</w:t>
      </w:r>
      <w:r>
        <w:t xml:space="preserve"> and </w:t>
      </w:r>
      <w:r w:rsidRPr="00053A02">
        <w:t>deliver better outcomes for participants.</w:t>
      </w:r>
      <w:r>
        <w:t xml:space="preserve"> </w:t>
      </w:r>
    </w:p>
    <w:p w14:paraId="01EBCEC2" w14:textId="77777777" w:rsidR="00804DDC" w:rsidRDefault="00804DDC" w:rsidP="00D64D30">
      <w:r w:rsidDel="00132BA7">
        <w:t xml:space="preserve">A contestable market (including one with a single active provider) can help ensure providers are responsive to participants where there is a credible threat of replacement. Contestability can achieve many of the benefits of competition without experiencing the drawbacks when the conditions for strong competition are not met. </w:t>
      </w:r>
      <w:r>
        <w:t>Contestability</w:t>
      </w:r>
      <w:r w:rsidRPr="00D76866">
        <w:t xml:space="preserve"> can be applied at</w:t>
      </w:r>
      <w:r>
        <w:t xml:space="preserve"> different levels in the market:</w:t>
      </w:r>
    </w:p>
    <w:p w14:paraId="4E67968F" w14:textId="77777777" w:rsidR="00804DDC" w:rsidRDefault="00804DDC" w:rsidP="00D64D30">
      <w:pPr>
        <w:pStyle w:val="Listbullets-Level1"/>
      </w:pPr>
      <w:r w:rsidRPr="00D76866">
        <w:t xml:space="preserve">at the </w:t>
      </w:r>
      <w:r>
        <w:t>‘</w:t>
      </w:r>
      <w:r w:rsidRPr="00D76866">
        <w:t>service level</w:t>
      </w:r>
      <w:r>
        <w:t>’ for a group of participants</w:t>
      </w:r>
    </w:p>
    <w:p w14:paraId="7707BAA0" w14:textId="77777777" w:rsidR="00804DDC" w:rsidRDefault="00804DDC" w:rsidP="00D64D30">
      <w:pPr>
        <w:pStyle w:val="Listbullets-Level1"/>
      </w:pPr>
      <w:r w:rsidRPr="00D76866">
        <w:t xml:space="preserve">for a </w:t>
      </w:r>
      <w:r>
        <w:t>‘</w:t>
      </w:r>
      <w:r w:rsidRPr="00D76866">
        <w:t>bundle</w:t>
      </w:r>
      <w:r>
        <w:t>’</w:t>
      </w:r>
      <w:r w:rsidRPr="00D76866">
        <w:t xml:space="preserve"> or </w:t>
      </w:r>
      <w:r>
        <w:t>‘</w:t>
      </w:r>
      <w:r w:rsidRPr="00D76866">
        <w:t>wrap around</w:t>
      </w:r>
      <w:r>
        <w:t>’</w:t>
      </w:r>
      <w:r w:rsidRPr="00D76866">
        <w:t xml:space="preserve"> supports</w:t>
      </w:r>
      <w:r>
        <w:t xml:space="preserve"> for an individual or group of participants</w:t>
      </w:r>
    </w:p>
    <w:p w14:paraId="7E8F7253" w14:textId="77777777" w:rsidR="00804DDC" w:rsidDel="00132BA7" w:rsidRDefault="00804DDC" w:rsidP="00D64D30">
      <w:pPr>
        <w:pStyle w:val="Listbullets-Level1"/>
      </w:pPr>
      <w:r w:rsidRPr="00D76866">
        <w:t xml:space="preserve">at the </w:t>
      </w:r>
      <w:r>
        <w:t>‘</w:t>
      </w:r>
      <w:r w:rsidRPr="00D76866">
        <w:t>whole of market</w:t>
      </w:r>
      <w:r>
        <w:t>’</w:t>
      </w:r>
      <w:r w:rsidRPr="00D76866">
        <w:t xml:space="preserve"> level</w:t>
      </w:r>
      <w:r>
        <w:t xml:space="preserve"> for a community</w:t>
      </w:r>
      <w:r w:rsidRPr="00D76866">
        <w:t>.</w:t>
      </w:r>
      <w:r>
        <w:t xml:space="preserve"> </w:t>
      </w:r>
    </w:p>
    <w:p w14:paraId="69139B4C" w14:textId="44D93729" w:rsidR="00804DDC" w:rsidRPr="00D64D30" w:rsidRDefault="00804DDC" w:rsidP="00D64D30">
      <w:r w:rsidDel="00132BA7">
        <w:t>Using a</w:t>
      </w:r>
      <w:r w:rsidRPr="004170FB" w:rsidDel="00132BA7">
        <w:t xml:space="preserve">lternative commissioning – where </w:t>
      </w:r>
      <w:r w:rsidDel="00132BA7">
        <w:t>a</w:t>
      </w:r>
      <w:r w:rsidRPr="004170FB" w:rsidDel="00132BA7">
        <w:t xml:space="preserve"> government or community assumes the role of</w:t>
      </w:r>
      <w:r w:rsidDel="00132BA7">
        <w:t xml:space="preserve"> the</w:t>
      </w:r>
      <w:r w:rsidRPr="004170FB" w:rsidDel="00132BA7">
        <w:t xml:space="preserve"> comm</w:t>
      </w:r>
      <w:r w:rsidDel="00132BA7">
        <w:t>issioner – does not necessarily equate to block funding</w:t>
      </w:r>
      <w:r w:rsidRPr="004170FB" w:rsidDel="00132BA7">
        <w:t xml:space="preserve">. </w:t>
      </w:r>
      <w:r w:rsidDel="00132BA7">
        <w:t>Rather, a</w:t>
      </w:r>
      <w:r w:rsidRPr="004170FB" w:rsidDel="00132BA7">
        <w:t>lternative commissioning</w:t>
      </w:r>
      <w:r w:rsidDel="00132BA7">
        <w:t xml:space="preserve"> can include</w:t>
      </w:r>
      <w:r w:rsidRPr="004170FB" w:rsidDel="00132BA7">
        <w:t xml:space="preserve"> </w:t>
      </w:r>
      <w:r w:rsidDel="00132BA7">
        <w:t>a range of design choices, including place-</w:t>
      </w:r>
      <w:r w:rsidRPr="004170FB" w:rsidDel="00132BA7">
        <w:t>based and community-driven approach</w:t>
      </w:r>
      <w:r w:rsidDel="00132BA7">
        <w:t>es (</w:t>
      </w:r>
      <w:r>
        <w:fldChar w:fldCharType="begin"/>
      </w:r>
      <w:r>
        <w:instrText xml:space="preserve"> REF _Ref124347183 \h </w:instrText>
      </w:r>
      <w:r>
        <w:fldChar w:fldCharType="separate"/>
      </w:r>
      <w:r>
        <w:t xml:space="preserve">Figure </w:t>
      </w:r>
      <w:r>
        <w:rPr>
          <w:noProof/>
        </w:rPr>
        <w:t>5</w:t>
      </w:r>
      <w:r>
        <w:fldChar w:fldCharType="end"/>
      </w:r>
      <w:r w:rsidDel="00132BA7">
        <w:t>)</w:t>
      </w:r>
      <w:r>
        <w:t>.</w:t>
      </w:r>
      <w:r>
        <w:rPr>
          <w:rFonts w:eastAsiaTheme="majorEastAsia"/>
        </w:rPr>
        <w:br w:type="page"/>
      </w:r>
    </w:p>
    <w:p w14:paraId="0BC0B307" w14:textId="2F99155D" w:rsidR="00804DDC" w:rsidRPr="00714EF3" w:rsidRDefault="00804DDC" w:rsidP="00C93980">
      <w:pPr>
        <w:pStyle w:val="Heading2"/>
        <w:numPr>
          <w:ilvl w:val="0"/>
          <w:numId w:val="11"/>
        </w:numPr>
        <w:ind w:left="426" w:hanging="502"/>
      </w:pPr>
      <w:bookmarkStart w:id="18" w:name="_Toc123825819"/>
      <w:bookmarkStart w:id="19" w:name="_Toc123831275"/>
      <w:bookmarkStart w:id="20" w:name="_Toc123923511"/>
      <w:bookmarkStart w:id="21" w:name="_Toc123924172"/>
      <w:bookmarkStart w:id="22" w:name="_Toc123924417"/>
      <w:bookmarkStart w:id="23" w:name="_Toc123926012"/>
      <w:bookmarkStart w:id="24" w:name="_Ref124358300"/>
      <w:bookmarkStart w:id="25" w:name="_Toc124362726"/>
      <w:bookmarkStart w:id="26" w:name="_Toc124412356"/>
      <w:bookmarkStart w:id="27" w:name="_Toc124424842"/>
      <w:bookmarkStart w:id="28" w:name="_Toc124445171"/>
      <w:bookmarkStart w:id="29" w:name="_Toc124455999"/>
      <w:bookmarkStart w:id="30" w:name="_Toc124527757"/>
      <w:bookmarkStart w:id="31" w:name="_Toc124670942"/>
      <w:bookmarkStart w:id="32" w:name="_Toc124685426"/>
      <w:bookmarkStart w:id="33" w:name="_Toc124760127"/>
      <w:bookmarkStart w:id="34" w:name="_Toc124762104"/>
      <w:bookmarkStart w:id="35" w:name="_Toc125040833"/>
      <w:bookmarkStart w:id="36" w:name="_Toc136350275"/>
      <w:bookmarkStart w:id="37" w:name="_Toc136522397"/>
      <w:r w:rsidRPr="00714EF3">
        <w:lastRenderedPageBreak/>
        <w:t xml:space="preserve">Efforts to date have been </w:t>
      </w:r>
      <w:r>
        <w:t>too</w:t>
      </w:r>
      <w:r w:rsidRPr="00714EF3">
        <w:t xml:space="preserve"> </w:t>
      </w:r>
      <w:r>
        <w:t>narrow</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AA0B808" w14:textId="77777777" w:rsidR="00804DDC" w:rsidRDefault="00804DDC" w:rsidP="00D64D30">
      <w:pPr>
        <w:pStyle w:val="Heading3"/>
      </w:pPr>
      <w:r>
        <w:t>The NDIA’s thin market trials suggest market f</w:t>
      </w:r>
      <w:r w:rsidRPr="00612A58">
        <w:t xml:space="preserve">acilitation </w:t>
      </w:r>
      <w:r>
        <w:t>alone is</w:t>
      </w:r>
      <w:r w:rsidRPr="00396264">
        <w:t xml:space="preserve"> not sufficient to overcome challenges in thin </w:t>
      </w:r>
      <w:r>
        <w:t xml:space="preserve">NDIS </w:t>
      </w:r>
      <w:r w:rsidRPr="00396264">
        <w:t>markets</w:t>
      </w:r>
    </w:p>
    <w:p w14:paraId="02C0F65C" w14:textId="77777777" w:rsidR="00804DDC" w:rsidRDefault="00804DDC" w:rsidP="00D64D30">
      <w:r>
        <w:t xml:space="preserve">In 2019, the Disability Reform Council (DRC) acknowledged the need to use a more flexible approach to address market challenges following the development of the NDIS Thin Markets Framework commissioned by Department of Social Services (DSS). </w:t>
      </w:r>
    </w:p>
    <w:p w14:paraId="3FB7C6D1" w14:textId="77777777" w:rsidR="00804DDC" w:rsidRDefault="00804DDC" w:rsidP="00D64D30">
      <w:pPr>
        <w:pStyle w:val="Quote"/>
      </w:pPr>
      <w:r>
        <w:t>The Council agreed to use a more flexible approach to address market challenges in the NDIS, recognising that a ‘one-size-fits-all’ approach to delivering the NDIS is not suitable to address market gaps faced by certain geographic locations, particular cohorts or disability support types.</w:t>
      </w:r>
      <w:r>
        <w:rPr>
          <w:rStyle w:val="EndnoteReference"/>
        </w:rPr>
        <w:endnoteReference w:id="8"/>
      </w:r>
    </w:p>
    <w:p w14:paraId="08531DE4" w14:textId="77777777" w:rsidR="00804DDC" w:rsidRDefault="00804DDC" w:rsidP="00D64D30">
      <w:r>
        <w:t xml:space="preserve">The NDIA subsequently undertook 13 thin market trials across each state and territory as agreed with the DRC. </w:t>
      </w:r>
      <w:r w:rsidRPr="00C00426">
        <w:t xml:space="preserve">Twenty-six additional </w:t>
      </w:r>
      <w:r>
        <w:t>thin market</w:t>
      </w:r>
      <w:r w:rsidRPr="00C00426">
        <w:t xml:space="preserve"> projects have</w:t>
      </w:r>
      <w:r>
        <w:t xml:space="preserve"> also</w:t>
      </w:r>
      <w:r w:rsidRPr="00C00426">
        <w:t xml:space="preserve"> been initiated by the NDIA where potential supply gaps</w:t>
      </w:r>
      <w:r>
        <w:t xml:space="preserve"> have been identified</w:t>
      </w:r>
      <w:r w:rsidRPr="00C00426">
        <w:t>.</w:t>
      </w:r>
    </w:p>
    <w:p w14:paraId="77AE75C3" w14:textId="77777777" w:rsidR="00804DDC" w:rsidRDefault="00804DDC" w:rsidP="00D64D30">
      <w:r>
        <w:t xml:space="preserve">The trials focused on mechanisms to </w:t>
      </w:r>
      <w:r w:rsidRPr="00D47FF0">
        <w:t xml:space="preserve">improve </w:t>
      </w:r>
      <w:r>
        <w:t xml:space="preserve">market information, assisting participants to pool funding or using direct commissioning arrangements to purchase supports at a group </w:t>
      </w:r>
      <w:r w:rsidRPr="00E46137">
        <w:t>level</w:t>
      </w:r>
      <w:r>
        <w:t xml:space="preserve"> (</w:t>
      </w:r>
      <w:r>
        <w:fldChar w:fldCharType="begin"/>
      </w:r>
      <w:r>
        <w:instrText xml:space="preserve"> REF _Ref124347183 \h </w:instrText>
      </w:r>
      <w:r>
        <w:fldChar w:fldCharType="separate"/>
      </w:r>
      <w:r>
        <w:fldChar w:fldCharType="begin"/>
      </w:r>
      <w:r>
        <w:instrText xml:space="preserve"> REF _Ref124237204 \h </w:instrText>
      </w:r>
      <w:r>
        <w:fldChar w:fldCharType="separate"/>
      </w:r>
      <w:r>
        <w:t xml:space="preserve">Figure </w:t>
      </w:r>
      <w:r>
        <w:rPr>
          <w:noProof/>
        </w:rPr>
        <w:t>6</w:t>
      </w:r>
      <w:r>
        <w:fldChar w:fldCharType="end"/>
      </w:r>
      <w:r>
        <w:fldChar w:fldCharType="end"/>
      </w:r>
      <w:r>
        <w:t>)</w:t>
      </w:r>
      <w:r w:rsidRPr="00E46137">
        <w:t>.</w:t>
      </w:r>
      <w:r>
        <w:t xml:space="preserve"> </w:t>
      </w:r>
    </w:p>
    <w:p w14:paraId="7AE8B40B" w14:textId="77777777" w:rsidR="00804DDC" w:rsidRPr="000F75E1" w:rsidRDefault="00804DDC" w:rsidP="00D64D30">
      <w:r>
        <w:t>An e</w:t>
      </w:r>
      <w:r w:rsidRPr="00E46137">
        <w:t xml:space="preserve">valuation </w:t>
      </w:r>
      <w:r>
        <w:t>of the trials found</w:t>
      </w:r>
      <w:r w:rsidRPr="00E46137">
        <w:t xml:space="preserve"> market </w:t>
      </w:r>
      <w:r w:rsidRPr="00F16D54">
        <w:t xml:space="preserve">information provision was not sufficient to </w:t>
      </w:r>
      <w:r w:rsidRPr="000F75E1">
        <w:t>overcome challenges in thin markets</w:t>
      </w:r>
      <w:r>
        <w:rPr>
          <w:rStyle w:val="EndnoteReference"/>
        </w:rPr>
        <w:endnoteReference w:id="9"/>
      </w:r>
      <w:r>
        <w:t>, implying m</w:t>
      </w:r>
      <w:r w:rsidRPr="000F75E1">
        <w:t xml:space="preserve">ore </w:t>
      </w:r>
      <w:r>
        <w:t>active</w:t>
      </w:r>
      <w:r w:rsidRPr="000F75E1">
        <w:t xml:space="preserve"> intervention</w:t>
      </w:r>
      <w:r>
        <w:t>s</w:t>
      </w:r>
      <w:r w:rsidRPr="000F75E1">
        <w:t xml:space="preserve"> were needed (</w:t>
      </w:r>
      <w:r>
        <w:fldChar w:fldCharType="begin"/>
      </w:r>
      <w:r>
        <w:instrText xml:space="preserve"> REF _Ref124237204 \h </w:instrText>
      </w:r>
      <w:r>
        <w:fldChar w:fldCharType="separate"/>
      </w:r>
      <w:r>
        <w:t xml:space="preserve">Figure </w:t>
      </w:r>
      <w:r>
        <w:rPr>
          <w:noProof/>
        </w:rPr>
        <w:t>6</w:t>
      </w:r>
      <w:r>
        <w:fldChar w:fldCharType="end"/>
      </w:r>
      <w:r w:rsidRPr="000F75E1">
        <w:t xml:space="preserve">). </w:t>
      </w:r>
    </w:p>
    <w:p w14:paraId="4C501417" w14:textId="77777777" w:rsidR="00804DDC" w:rsidRDefault="00050BFB" w:rsidP="00D64D30">
      <w:hyperlink r:id="rId26" w:history="1">
        <w:r w:rsidR="00804DDC">
          <w:rPr>
            <w:rStyle w:val="Hyperlink"/>
            <w:rFonts w:asciiTheme="minorHAnsi" w:hAnsiTheme="minorHAnsi"/>
          </w:rPr>
          <w:t>Coordinated funding proposals (CFPs)</w:t>
        </w:r>
      </w:hyperlink>
      <w:r w:rsidR="00804DDC" w:rsidRPr="000F75E1">
        <w:t xml:space="preserve"> demonstrated some success in improving access to services for remote and very remote communities. </w:t>
      </w:r>
      <w:r w:rsidR="00804DDC">
        <w:t xml:space="preserve">CFPs allowed participants to pool their demand by collecting their funding and coordinating what services they needed. This helped participants to attract providers to deliver specific services, deepening the market. </w:t>
      </w:r>
      <w:r w:rsidR="00804DDC" w:rsidRPr="00737695">
        <w:t xml:space="preserve">However, </w:t>
      </w:r>
      <w:r w:rsidR="00804DDC">
        <w:t xml:space="preserve">most CFPs have focused on one-off </w:t>
      </w:r>
      <w:r w:rsidR="00804DDC" w:rsidRPr="003945E7">
        <w:t>functional assessments</w:t>
      </w:r>
      <w:r w:rsidR="00804DDC">
        <w:t xml:space="preserve"> </w:t>
      </w:r>
      <w:r w:rsidR="00804DDC" w:rsidRPr="003945E7">
        <w:t>and/or assessment</w:t>
      </w:r>
      <w:r w:rsidR="00804DDC">
        <w:t>s to support ongoing therapies. T</w:t>
      </w:r>
      <w:r w:rsidR="00804DDC" w:rsidRPr="006E2D81">
        <w:t xml:space="preserve">esting </w:t>
      </w:r>
      <w:r w:rsidR="00804DDC">
        <w:t xml:space="preserve">CFPs </w:t>
      </w:r>
      <w:r w:rsidR="00804DDC" w:rsidRPr="006E2D81">
        <w:t>across a wider range of support types and locations</w:t>
      </w:r>
      <w:r w:rsidR="00804DDC">
        <w:t xml:space="preserve"> is needed</w:t>
      </w:r>
      <w:r w:rsidR="00804DDC" w:rsidRPr="006E2D81">
        <w:t>.</w:t>
      </w:r>
    </w:p>
    <w:p w14:paraId="371F8734" w14:textId="77777777" w:rsidR="00804DDC" w:rsidRDefault="00804DDC" w:rsidP="00D64D30">
      <w:r>
        <w:t>T</w:t>
      </w:r>
      <w:r w:rsidRPr="00691E62">
        <w:t>he success</w:t>
      </w:r>
      <w:r>
        <w:t xml:space="preserve"> of CFPs were found to</w:t>
      </w:r>
      <w:r w:rsidRPr="00691E62">
        <w:t xml:space="preserve"> rely </w:t>
      </w:r>
      <w:r>
        <w:t xml:space="preserve">heavily </w:t>
      </w:r>
      <w:r w:rsidRPr="00691E62">
        <w:t>on support coordinators workin</w:t>
      </w:r>
      <w:r>
        <w:t xml:space="preserve">g together. For example, the </w:t>
      </w:r>
      <w:r w:rsidRPr="00B71ACB">
        <w:t>Mornington Island Thin Market Trial</w:t>
      </w:r>
      <w:r>
        <w:t xml:space="preserve"> saw an increase in average </w:t>
      </w:r>
      <w:r w:rsidRPr="002F5BC8">
        <w:t>participant plan expenditure</w:t>
      </w:r>
      <w:r>
        <w:t xml:space="preserve"> from </w:t>
      </w:r>
      <w:r w:rsidRPr="002F5BC8">
        <w:t>$652</w:t>
      </w:r>
      <w:r>
        <w:t xml:space="preserve"> in the year</w:t>
      </w:r>
      <w:r w:rsidRPr="002F5BC8">
        <w:t xml:space="preserve"> before the CFP commenced</w:t>
      </w:r>
      <w:r>
        <w:t xml:space="preserve"> to </w:t>
      </w:r>
      <w:r w:rsidRPr="002F5BC8">
        <w:t xml:space="preserve">$7,027 </w:t>
      </w:r>
      <w:r>
        <w:t xml:space="preserve">in the year after the CFP commenced. Improvements were largely attributed to the ongoing engagement of the CFP working group with NDIA assistance (Case Study 1). </w:t>
      </w:r>
    </w:p>
    <w:p w14:paraId="4F92AF5B" w14:textId="77777777" w:rsidR="00804DDC" w:rsidRDefault="00804DDC" w:rsidP="00D64D30">
      <w:r>
        <w:lastRenderedPageBreak/>
        <w:t xml:space="preserve">The evaluation, however, highlighted mixed success in being able to get </w:t>
      </w:r>
      <w:r w:rsidRPr="00691E62">
        <w:t xml:space="preserve">support coordinators </w:t>
      </w:r>
      <w:r>
        <w:t>to work together. This was reported to be a</w:t>
      </w:r>
      <w:r w:rsidRPr="0030531A">
        <w:t xml:space="preserve"> factor in some CFPs not proceeding.</w:t>
      </w:r>
      <w:r>
        <w:t xml:space="preserve"> </w:t>
      </w:r>
    </w:p>
    <w:p w14:paraId="79FABEFA" w14:textId="40A97B06" w:rsidR="00804DDC" w:rsidRDefault="00804DDC" w:rsidP="00D64D30">
      <w:r>
        <w:t>With some CFPs not progressing, it is unclear whether CFPs can overcome market coordination issues to ensure continuity of supply and support investment in local service delivery</w:t>
      </w:r>
      <w:r w:rsidRPr="007262B3">
        <w:t xml:space="preserve"> </w:t>
      </w:r>
      <w:r>
        <w:t>in remote communities.</w:t>
      </w:r>
    </w:p>
    <w:p w14:paraId="2A3CA027" w14:textId="6B01F0C5" w:rsidR="00804DDC" w:rsidRPr="00033257" w:rsidRDefault="00804DDC" w:rsidP="00033257">
      <w:pPr>
        <w:pStyle w:val="B2-Heading3"/>
      </w:pPr>
      <w:r w:rsidRPr="00033257">
        <w:t>Box 1</w:t>
      </w:r>
      <w:r w:rsidR="00033257" w:rsidRPr="00033257">
        <w:t xml:space="preserve"> </w:t>
      </w:r>
      <w:r w:rsidRPr="00033257">
        <w:rPr>
          <w:b/>
        </w:rPr>
        <w:t>Defining remote areas</w:t>
      </w:r>
    </w:p>
    <w:p w14:paraId="72D8CDF5" w14:textId="77777777" w:rsidR="00804DDC" w:rsidRDefault="00804DDC" w:rsidP="00D64D30">
      <w:pPr>
        <w:pStyle w:val="B2-Body"/>
      </w:pPr>
      <w:r>
        <w:t>The NDIA uses the Modified Monash Model (MMM) to categorise locations in Australia according to their population and distance from capital cities. MMM classifications are based on the Australian Statistical Geography Standard – Remote Areas (ASGS-RA) framework used by the Australian Bureau of Statistics (ABS).</w:t>
      </w:r>
    </w:p>
    <w:p w14:paraId="40E17A09" w14:textId="0F856DDF" w:rsidR="00804DDC" w:rsidRPr="00D64D30" w:rsidRDefault="00804DDC" w:rsidP="00D64D30">
      <w:pPr>
        <w:pStyle w:val="B2-Body"/>
      </w:pPr>
      <w:r>
        <w:t>For the purpose of this paper, the NDIS Review has defined remote areas as those in MMM categories 6 to 7 – that is, “remote” will include remote and very remote communities.</w:t>
      </w:r>
    </w:p>
    <w:p w14:paraId="41671B38" w14:textId="77777777" w:rsidR="00804DDC" w:rsidRDefault="00804DDC" w:rsidP="00D64D30">
      <w:r>
        <w:t xml:space="preserve">NDIA have recently released resources for participants, families, carers, and support coordinators to develop and use CFPs to access safe, quality supports they need. Monitoring the uptake of, and associated outcomes from, CFPs will be key to determining </w:t>
      </w:r>
      <w:r w:rsidRPr="00033257">
        <w:t>whether they can overcome market coordination issues and deliver on what is most</w:t>
      </w:r>
      <w:r>
        <w:t xml:space="preserve"> important to participants</w:t>
      </w:r>
      <w:r>
        <w:rPr>
          <w:rStyle w:val="EndnoteReference"/>
        </w:rPr>
        <w:endnoteReference w:id="10"/>
      </w:r>
      <w:r>
        <w:t>.</w:t>
      </w:r>
    </w:p>
    <w:p w14:paraId="2B8C1B6C" w14:textId="77777777" w:rsidR="00804DDC" w:rsidRDefault="00804DDC" w:rsidP="00D64D30">
      <w:pPr>
        <w:rPr>
          <w:rFonts w:ascii="Arial" w:hAnsi="Arial" w:cs="Arial"/>
          <w:color w:val="000000"/>
          <w:sz w:val="22"/>
          <w:szCs w:val="22"/>
        </w:rPr>
      </w:pPr>
      <w:r w:rsidRPr="00D47FF0">
        <w:t>Direct commissioning</w:t>
      </w:r>
      <w:r>
        <w:t xml:space="preserve"> trials were applied in a handful of circumstances and with mixed success (</w:t>
      </w:r>
      <w:r>
        <w:fldChar w:fldCharType="begin"/>
      </w:r>
      <w:r>
        <w:instrText xml:space="preserve"> REF _Ref124237204 \h </w:instrText>
      </w:r>
      <w:r>
        <w:fldChar w:fldCharType="separate"/>
      </w:r>
      <w:r>
        <w:t xml:space="preserve">Figure </w:t>
      </w:r>
      <w:r>
        <w:rPr>
          <w:noProof/>
        </w:rPr>
        <w:t>6</w:t>
      </w:r>
      <w:r>
        <w:fldChar w:fldCharType="end"/>
      </w:r>
      <w:r>
        <w:t xml:space="preserve">). While the evaluation found that direct commissioning increased </w:t>
      </w:r>
      <w:r w:rsidRPr="009F2533">
        <w:t>assurance of demand for service provider</w:t>
      </w:r>
      <w:r>
        <w:t xml:space="preserve">s in the few trials undertaken, the increase </w:t>
      </w:r>
      <w:r w:rsidRPr="007718A0">
        <w:t xml:space="preserve">in </w:t>
      </w:r>
      <w:r>
        <w:t>NDIS spending</w:t>
      </w:r>
      <w:r w:rsidRPr="007718A0">
        <w:t xml:space="preserve"> </w:t>
      </w:r>
      <w:r>
        <w:t>was marginal outside of the one very remote trial</w:t>
      </w:r>
      <w:r w:rsidRPr="00737695">
        <w:rPr>
          <w:rFonts w:ascii="Arial" w:hAnsi="Arial" w:cs="Arial"/>
          <w:color w:val="000000"/>
          <w:sz w:val="22"/>
          <w:szCs w:val="22"/>
        </w:rPr>
        <w:t xml:space="preserve">. </w:t>
      </w:r>
    </w:p>
    <w:p w14:paraId="3904BD2D" w14:textId="77777777" w:rsidR="00804DDC" w:rsidRDefault="00804DDC" w:rsidP="00D64D30">
      <w:r>
        <w:t>In the very remote trial, the increase in spending may not have reflected an increase in participant use of supports. Parts of the community were unclear about how the NDIA captures, monitors and responds to feedback on how well the directly commissioned service is working for participants in the community</w:t>
      </w:r>
      <w:r>
        <w:rPr>
          <w:rStyle w:val="EndnoteReference"/>
        </w:rPr>
        <w:endnoteReference w:id="11"/>
      </w:r>
      <w:r>
        <w:t>. This included feedback about how culturally safe and appropriate the supports are.</w:t>
      </w:r>
    </w:p>
    <w:p w14:paraId="05DA3102" w14:textId="77777777" w:rsidR="00804DDC" w:rsidRDefault="00804DDC" w:rsidP="00D64D30">
      <w:r>
        <w:t>The NDIA thin market trials have also not</w:t>
      </w:r>
      <w:r w:rsidRPr="00BC6B53">
        <w:t xml:space="preserve"> address</w:t>
      </w:r>
      <w:r>
        <w:t>ed</w:t>
      </w:r>
      <w:r w:rsidRPr="00BC6B53">
        <w:t xml:space="preserve"> the underlying </w:t>
      </w:r>
      <w:r>
        <w:t>drivers of</w:t>
      </w:r>
      <w:r w:rsidRPr="00BC6B53">
        <w:t xml:space="preserve"> thin markets – particularly in how they relate to market setting</w:t>
      </w:r>
      <w:r>
        <w:t>s</w:t>
      </w:r>
      <w:r w:rsidRPr="00BC6B53">
        <w:t>, including price settings – which has resulted in limited success in improving participant outcome</w:t>
      </w:r>
      <w:r>
        <w:t>s</w:t>
      </w:r>
      <w:r>
        <w:rPr>
          <w:rStyle w:val="EndnoteReference"/>
        </w:rPr>
        <w:endnoteReference w:id="12"/>
      </w:r>
      <w:r w:rsidRPr="00BC6B53">
        <w:t>.</w:t>
      </w:r>
      <w:r>
        <w:t xml:space="preserve"> </w:t>
      </w:r>
    </w:p>
    <w:p w14:paraId="1E96BC0C" w14:textId="77777777" w:rsidR="00804DDC" w:rsidRDefault="00804DDC" w:rsidP="00D64D30">
      <w:r>
        <w:t xml:space="preserve">NDIA’s approach to identifying, prioritising and intervening in markets is largely informed by data on utilisation and participant spend. There is limited visibility of the unregistered provider market and little market sounding to understand the nuances in these areas. </w:t>
      </w:r>
    </w:p>
    <w:p w14:paraId="17B8D32E" w14:textId="77777777" w:rsidR="00804DDC" w:rsidRDefault="00804DDC" w:rsidP="00D64D30">
      <w:r>
        <w:t xml:space="preserve">NDIA’s approach is currently not public. Publicly available market monitoring data is not enough for communities to raise issues or respond to emerging thin markets. It is unclear </w:t>
      </w:r>
      <w:r>
        <w:lastRenderedPageBreak/>
        <w:t xml:space="preserve">how participants and providers can raise concerns about thin markets and this is creating uncertainty about the continuity of supply when markets fail. </w:t>
      </w:r>
    </w:p>
    <w:p w14:paraId="288A55BE" w14:textId="77777777" w:rsidR="00804DDC" w:rsidRDefault="00804DDC" w:rsidP="00D64D30">
      <w:r>
        <w:t>Importantly,</w:t>
      </w:r>
      <w:r w:rsidDel="00EB2F66">
        <w:t xml:space="preserve"> </w:t>
      </w:r>
      <w:r>
        <w:t>the evaluation of the thin market trials did not follow best practice Indigenous evaluation approaches.</w:t>
      </w:r>
      <w:r>
        <w:rPr>
          <w:rStyle w:val="EndnoteReference"/>
        </w:rPr>
        <w:endnoteReference w:id="13"/>
      </w:r>
      <w:r>
        <w:t xml:space="preserve"> The lack of First Nations</w:t>
      </w:r>
      <w:r w:rsidRPr="00115599">
        <w:t xml:space="preserve"> voices makes it difficult to make any robust conclusions</w:t>
      </w:r>
      <w:r>
        <w:t>, and learn from what has or has not worked for these communities.</w:t>
      </w:r>
    </w:p>
    <w:p w14:paraId="5E081F2E" w14:textId="69D9C9F7" w:rsidR="00804DDC" w:rsidRDefault="00804DDC" w:rsidP="00D64D30">
      <w:pPr>
        <w:pStyle w:val="Figure"/>
      </w:pPr>
      <w:bookmarkStart w:id="38" w:name="fig6"/>
      <w:r>
        <w:t>What did NDIA’s evaluation</w:t>
      </w:r>
      <w:r>
        <w:rPr>
          <w:rStyle w:val="EndnoteReference"/>
        </w:rPr>
        <w:endnoteReference w:id="14"/>
      </w:r>
      <w:r>
        <w:t xml:space="preserve"> of </w:t>
      </w:r>
      <w:r w:rsidRPr="00A60276">
        <w:t xml:space="preserve">thin </w:t>
      </w:r>
      <w:r>
        <w:t xml:space="preserve">market trials find? </w:t>
      </w: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2251"/>
        <w:gridCol w:w="6179"/>
      </w:tblGrid>
      <w:tr w:rsidR="00804DDC" w14:paraId="415A2ABC" w14:textId="77777777" w:rsidTr="00D64D30">
        <w:tc>
          <w:tcPr>
            <w:tcW w:w="1214" w:type="dxa"/>
          </w:tcPr>
          <w:bookmarkEnd w:id="38"/>
          <w:p w14:paraId="7E71A1DC" w14:textId="77777777" w:rsidR="00804DDC" w:rsidRDefault="00804DDC" w:rsidP="00804DDC">
            <w:pPr>
              <w:jc w:val="center"/>
            </w:pPr>
            <w:r>
              <w:rPr>
                <w:noProof/>
                <w:lang w:eastAsia="en-AU"/>
              </w:rPr>
              <w:drawing>
                <wp:inline distT="0" distB="0" distL="0" distR="0" wp14:anchorId="7A32E110" wp14:editId="223E6F8C">
                  <wp:extent cx="579120" cy="579120"/>
                  <wp:effectExtent l="0" t="0" r="0" b="0"/>
                  <wp:docPr id="22" name="Picture 2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p>
        </w:tc>
        <w:tc>
          <w:tcPr>
            <w:tcW w:w="2251" w:type="dxa"/>
            <w:tcBorders>
              <w:bottom w:val="single" w:sz="48" w:space="0" w:color="FFFFFF" w:themeColor="background1"/>
            </w:tcBorders>
            <w:shd w:val="clear" w:color="auto" w:fill="D9E7FB" w:themeFill="accent5" w:themeFillTint="66"/>
          </w:tcPr>
          <w:p w14:paraId="685B7F03" w14:textId="77777777" w:rsidR="00804DDC" w:rsidRDefault="00804DDC" w:rsidP="00804DDC">
            <w:r w:rsidRPr="001C116F">
              <w:rPr>
                <w:b/>
              </w:rPr>
              <w:t>Market facilitation</w:t>
            </w:r>
            <w:r>
              <w:t xml:space="preserve"> to improve connections between providers and participants, such as focused engagement and </w:t>
            </w:r>
            <w:r w:rsidRPr="009606EF">
              <w:rPr>
                <w:b/>
              </w:rPr>
              <w:t>sharing targeted market information</w:t>
            </w:r>
          </w:p>
        </w:tc>
        <w:tc>
          <w:tcPr>
            <w:tcW w:w="6179" w:type="dxa"/>
            <w:tcBorders>
              <w:bottom w:val="single" w:sz="48" w:space="0" w:color="FFFFFF" w:themeColor="background1"/>
            </w:tcBorders>
            <w:shd w:val="clear" w:color="auto" w:fill="ECF3FD" w:themeFill="accent5" w:themeFillTint="33"/>
          </w:tcPr>
          <w:p w14:paraId="19248D4E" w14:textId="77777777" w:rsidR="00804DDC" w:rsidRDefault="00804DDC" w:rsidP="00804DDC">
            <w:r w:rsidRPr="00583CF8">
              <w:t xml:space="preserve">Market facilitation has featured in </w:t>
            </w:r>
            <w:r>
              <w:t xml:space="preserve">almost all 39 thin </w:t>
            </w:r>
            <w:r w:rsidRPr="00583CF8">
              <w:t>market trials since 2019.</w:t>
            </w:r>
          </w:p>
          <w:p w14:paraId="2A4D9C70" w14:textId="77777777" w:rsidR="00804DDC" w:rsidRDefault="00804DDC" w:rsidP="00804DDC">
            <w:r>
              <w:t xml:space="preserve">There is </w:t>
            </w:r>
            <w:r w:rsidRPr="00145151">
              <w:rPr>
                <w:b/>
              </w:rPr>
              <w:t xml:space="preserve">no evidence that, on average, market facilitation trials increased participant use of NDIS supports or strengthened local NDIS markets </w:t>
            </w:r>
            <w:r w:rsidRPr="005630A7">
              <w:t>above all other activities undertaken by the NDIA or other market intermediarie</w:t>
            </w:r>
            <w:r>
              <w:t>s.</w:t>
            </w:r>
          </w:p>
          <w:p w14:paraId="7E7749E1" w14:textId="77777777" w:rsidR="00804DDC" w:rsidRPr="00583CF8" w:rsidRDefault="00804DDC" w:rsidP="00804DDC">
            <w:r>
              <w:t xml:space="preserve">Feedback from service providers and support coordinators indicated that market facilitation activities were </w:t>
            </w:r>
            <w:r w:rsidRPr="00CB35A8">
              <w:t xml:space="preserve">insufficient to encourage greater service provision </w:t>
            </w:r>
            <w:r>
              <w:t xml:space="preserve">and to </w:t>
            </w:r>
            <w:r w:rsidRPr="00CB35A8">
              <w:t xml:space="preserve">overcome </w:t>
            </w:r>
            <w:r>
              <w:t xml:space="preserve">systemic </w:t>
            </w:r>
            <w:r w:rsidRPr="00CB35A8">
              <w:t xml:space="preserve">market challenges </w:t>
            </w:r>
            <w:r>
              <w:t xml:space="preserve">– such as workforce shortages and participants’ limited understanding of the NDIS. </w:t>
            </w:r>
          </w:p>
        </w:tc>
      </w:tr>
      <w:tr w:rsidR="00804DDC" w14:paraId="6436E028" w14:textId="77777777" w:rsidTr="00D64D30">
        <w:tc>
          <w:tcPr>
            <w:tcW w:w="1214" w:type="dxa"/>
          </w:tcPr>
          <w:p w14:paraId="3B263AA6" w14:textId="77777777" w:rsidR="00804DDC" w:rsidRDefault="00804DDC" w:rsidP="00804DDC">
            <w:pPr>
              <w:jc w:val="center"/>
            </w:pPr>
            <w:r>
              <w:rPr>
                <w:noProof/>
                <w:lang w:eastAsia="en-AU"/>
              </w:rPr>
              <w:drawing>
                <wp:inline distT="0" distB="0" distL="0" distR="0" wp14:anchorId="162D2C6B" wp14:editId="3AFE9DB6">
                  <wp:extent cx="633730" cy="633730"/>
                  <wp:effectExtent l="0" t="0" r="0" b="0"/>
                  <wp:docPr id="23" name="Picture 2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p>
        </w:tc>
        <w:tc>
          <w:tcPr>
            <w:tcW w:w="2251" w:type="dxa"/>
            <w:tcBorders>
              <w:top w:val="single" w:sz="48" w:space="0" w:color="FFFFFF" w:themeColor="background1"/>
              <w:bottom w:val="single" w:sz="48" w:space="0" w:color="FFFFFF" w:themeColor="background1"/>
            </w:tcBorders>
            <w:shd w:val="clear" w:color="auto" w:fill="DEDCED" w:themeFill="accent1" w:themeFillTint="66"/>
          </w:tcPr>
          <w:p w14:paraId="44A4CFAA" w14:textId="77777777" w:rsidR="00804DDC" w:rsidRDefault="00804DDC" w:rsidP="00804DDC">
            <w:r w:rsidRPr="001C116F">
              <w:rPr>
                <w:b/>
              </w:rPr>
              <w:t>Coordinated funding proposals (CFP)</w:t>
            </w:r>
            <w:r>
              <w:t xml:space="preserve"> to enable participants to pool NDIS funding to more efficiently secure services from providers</w:t>
            </w:r>
          </w:p>
        </w:tc>
        <w:tc>
          <w:tcPr>
            <w:tcW w:w="6179" w:type="dxa"/>
            <w:tcBorders>
              <w:top w:val="single" w:sz="48" w:space="0" w:color="FFFFFF" w:themeColor="background1"/>
              <w:bottom w:val="single" w:sz="48" w:space="0" w:color="FFFFFF" w:themeColor="background1"/>
            </w:tcBorders>
            <w:shd w:val="clear" w:color="auto" w:fill="EEEDF6" w:themeFill="accent1" w:themeFillTint="33"/>
          </w:tcPr>
          <w:p w14:paraId="01BF930A" w14:textId="77777777" w:rsidR="00804DDC" w:rsidRDefault="00804DDC" w:rsidP="00804DDC">
            <w:r>
              <w:t>CFPs have been, or are being, trialled across nine remote and very remote communities.</w:t>
            </w:r>
            <w:r w:rsidRPr="00737695">
              <w:t xml:space="preserve"> </w:t>
            </w:r>
          </w:p>
          <w:p w14:paraId="2D7897CA" w14:textId="77777777" w:rsidR="00804DDC" w:rsidRDefault="00804DDC" w:rsidP="00804DDC">
            <w:r>
              <w:t xml:space="preserve">Trials have </w:t>
            </w:r>
            <w:r w:rsidRPr="004F2CB3">
              <w:t>shown</w:t>
            </w:r>
            <w:r w:rsidRPr="004F2CB3">
              <w:rPr>
                <w:b/>
              </w:rPr>
              <w:t xml:space="preserve"> success at pooling participant demand, particularly for participants to access </w:t>
            </w:r>
            <w:r w:rsidRPr="00737695">
              <w:rPr>
                <w:b/>
              </w:rPr>
              <w:t xml:space="preserve">one-off </w:t>
            </w:r>
            <w:r>
              <w:rPr>
                <w:b/>
              </w:rPr>
              <w:t>fu</w:t>
            </w:r>
            <w:r w:rsidRPr="00F86642">
              <w:rPr>
                <w:b/>
              </w:rPr>
              <w:t>nctional assessments</w:t>
            </w:r>
            <w:r>
              <w:t>. CFPs help service providers – mainly based outside the community and travelling by road or air – to mitigate demand uncertainty, and share travel and administration costs.</w:t>
            </w:r>
          </w:p>
          <w:p w14:paraId="0663D9DC" w14:textId="77777777" w:rsidR="00804DDC" w:rsidRDefault="00804DDC" w:rsidP="00804DDC">
            <w:r w:rsidRPr="00737695">
              <w:t>However,</w:t>
            </w:r>
            <w:r>
              <w:t xml:space="preserve"> t</w:t>
            </w:r>
            <w:r w:rsidRPr="00737695">
              <w:t>o understand the potential of CFPs, they need testing across a wider range of support types and locations.</w:t>
            </w:r>
          </w:p>
          <w:p w14:paraId="3FA97D40" w14:textId="77777777" w:rsidR="00804DDC" w:rsidRPr="004F2CB3" w:rsidRDefault="00804DDC" w:rsidP="00804DDC">
            <w:pPr>
              <w:rPr>
                <w:b/>
              </w:rPr>
            </w:pPr>
            <w:r>
              <w:t>Main</w:t>
            </w:r>
            <w:r w:rsidRPr="00D97EB1">
              <w:t xml:space="preserve"> challenges with CFPs appear to be the</w:t>
            </w:r>
            <w:r w:rsidRPr="004F2CB3">
              <w:rPr>
                <w:b/>
              </w:rPr>
              <w:t xml:space="preserve"> logistical challenge for service providers </w:t>
            </w:r>
            <w:r w:rsidRPr="004A2E0E">
              <w:t>to coordinate</w:t>
            </w:r>
            <w:r w:rsidRPr="004F2CB3">
              <w:rPr>
                <w:b/>
              </w:rPr>
              <w:t xml:space="preserve"> </w:t>
            </w:r>
            <w:r w:rsidRPr="00D97EB1">
              <w:t>service delivery</w:t>
            </w:r>
            <w:r w:rsidRPr="004F2CB3">
              <w:rPr>
                <w:b/>
              </w:rPr>
              <w:t xml:space="preserve"> across multiple support coordinators </w:t>
            </w:r>
            <w:r w:rsidRPr="00D97EB1">
              <w:t>who are</w:t>
            </w:r>
            <w:r w:rsidRPr="004F2CB3">
              <w:rPr>
                <w:b/>
              </w:rPr>
              <w:t xml:space="preserve"> not always based in the community.</w:t>
            </w:r>
          </w:p>
        </w:tc>
      </w:tr>
      <w:tr w:rsidR="00804DDC" w14:paraId="19E4D101" w14:textId="77777777" w:rsidTr="00D64D30">
        <w:tc>
          <w:tcPr>
            <w:tcW w:w="1214" w:type="dxa"/>
          </w:tcPr>
          <w:p w14:paraId="28424B8E" w14:textId="77777777" w:rsidR="00804DDC" w:rsidRDefault="00804DDC" w:rsidP="00804DDC">
            <w:r>
              <w:rPr>
                <w:noProof/>
                <w:lang w:eastAsia="en-AU"/>
              </w:rPr>
              <w:drawing>
                <wp:inline distT="0" distB="0" distL="0" distR="0" wp14:anchorId="500F985F" wp14:editId="1B285DEE">
                  <wp:extent cx="633730" cy="633730"/>
                  <wp:effectExtent l="0" t="0" r="0" b="0"/>
                  <wp:docPr id="21" name="Picture 2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p>
        </w:tc>
        <w:tc>
          <w:tcPr>
            <w:tcW w:w="2251" w:type="dxa"/>
            <w:tcBorders>
              <w:top w:val="single" w:sz="48" w:space="0" w:color="FFFFFF" w:themeColor="background1"/>
              <w:bottom w:val="single" w:sz="48" w:space="0" w:color="FFFFFF" w:themeColor="background1"/>
            </w:tcBorders>
            <w:shd w:val="clear" w:color="auto" w:fill="E0CCE0" w:themeFill="text2" w:themeFillTint="66"/>
          </w:tcPr>
          <w:p w14:paraId="12594514" w14:textId="77777777" w:rsidR="00804DDC" w:rsidRDefault="00804DDC" w:rsidP="00804DDC">
            <w:r w:rsidRPr="000D52A4">
              <w:rPr>
                <w:b/>
              </w:rPr>
              <w:t>Direct commissioning</w:t>
            </w:r>
            <w:r>
              <w:t xml:space="preserve"> directly contracts providers to deliver support to a participant or a group of participants</w:t>
            </w:r>
          </w:p>
        </w:tc>
        <w:tc>
          <w:tcPr>
            <w:tcW w:w="6179" w:type="dxa"/>
            <w:tcBorders>
              <w:top w:val="single" w:sz="48" w:space="0" w:color="FFFFFF" w:themeColor="background1"/>
              <w:bottom w:val="single" w:sz="48" w:space="0" w:color="FFFFFF" w:themeColor="background1"/>
            </w:tcBorders>
            <w:shd w:val="clear" w:color="auto" w:fill="EFE5EF" w:themeFill="text2" w:themeFillTint="33"/>
          </w:tcPr>
          <w:p w14:paraId="05BBD67A" w14:textId="77777777" w:rsidR="00804DDC" w:rsidRDefault="00804DDC" w:rsidP="00804DDC">
            <w:r w:rsidRPr="00AD0B48">
              <w:t>Only three tri</w:t>
            </w:r>
            <w:r>
              <w:t xml:space="preserve">als used direct commissioning. </w:t>
            </w:r>
          </w:p>
          <w:p w14:paraId="121FC15E" w14:textId="77777777" w:rsidR="00804DDC" w:rsidRPr="004F2CB3" w:rsidRDefault="00804DDC" w:rsidP="00804DDC">
            <w:pPr>
              <w:rPr>
                <w:b/>
              </w:rPr>
            </w:pPr>
            <w:r w:rsidRPr="004F2CB3">
              <w:rPr>
                <w:b/>
              </w:rPr>
              <w:t xml:space="preserve">Only one </w:t>
            </w:r>
            <w:r>
              <w:rPr>
                <w:b/>
              </w:rPr>
              <w:t>trial</w:t>
            </w:r>
            <w:r w:rsidRPr="00E563DD">
              <w:rPr>
                <w:b/>
              </w:rPr>
              <w:t xml:space="preserve"> </w:t>
            </w:r>
            <w:r w:rsidRPr="004F2CB3">
              <w:rPr>
                <w:b/>
              </w:rPr>
              <w:t xml:space="preserve">was </w:t>
            </w:r>
            <w:r>
              <w:rPr>
                <w:b/>
              </w:rPr>
              <w:t xml:space="preserve">run </w:t>
            </w:r>
            <w:r w:rsidRPr="004F2CB3">
              <w:rPr>
                <w:b/>
              </w:rPr>
              <w:t xml:space="preserve">in a remote context, </w:t>
            </w:r>
            <w:r w:rsidRPr="00FC1951">
              <w:t>and it was limited to community, social and civic participation supports.</w:t>
            </w:r>
            <w:r w:rsidRPr="004F2CB3">
              <w:rPr>
                <w:b/>
              </w:rPr>
              <w:t xml:space="preserve"> </w:t>
            </w:r>
            <w:r w:rsidRPr="004E457B">
              <w:t xml:space="preserve">While it is still too early to assess, </w:t>
            </w:r>
            <w:r>
              <w:rPr>
                <w:b/>
              </w:rPr>
              <w:t>the NDIA expects</w:t>
            </w:r>
            <w:r w:rsidRPr="004F2CB3">
              <w:rPr>
                <w:b/>
              </w:rPr>
              <w:t xml:space="preserve"> </w:t>
            </w:r>
            <w:r>
              <w:rPr>
                <w:b/>
              </w:rPr>
              <w:t>a projected</w:t>
            </w:r>
            <w:r w:rsidRPr="004F2CB3">
              <w:rPr>
                <w:b/>
              </w:rPr>
              <w:t xml:space="preserve"> </w:t>
            </w:r>
            <w:r>
              <w:rPr>
                <w:b/>
              </w:rPr>
              <w:t>increase of around 119% (or over $10,000</w:t>
            </w:r>
            <w:r w:rsidRPr="003D05CC">
              <w:rPr>
                <w:b/>
              </w:rPr>
              <w:t xml:space="preserve">) </w:t>
            </w:r>
            <w:r>
              <w:rPr>
                <w:b/>
              </w:rPr>
              <w:t>in average annual participant expenditure for these supports</w:t>
            </w:r>
            <w:r w:rsidRPr="004F2CB3">
              <w:rPr>
                <w:b/>
              </w:rPr>
              <w:t>.</w:t>
            </w:r>
          </w:p>
          <w:p w14:paraId="6749EBB8" w14:textId="77777777" w:rsidR="00804DDC" w:rsidRDefault="00804DDC" w:rsidP="00804DDC">
            <w:r>
              <w:t xml:space="preserve">For </w:t>
            </w:r>
            <w:r w:rsidRPr="004F2CB3">
              <w:rPr>
                <w:b/>
              </w:rPr>
              <w:t xml:space="preserve">non-remote trials, </w:t>
            </w:r>
            <w:r w:rsidRPr="00A7194C">
              <w:t xml:space="preserve">direct commissioning </w:t>
            </w:r>
            <w:r w:rsidRPr="004F2CB3">
              <w:rPr>
                <w:b/>
              </w:rPr>
              <w:t>ha</w:t>
            </w:r>
            <w:r>
              <w:rPr>
                <w:b/>
              </w:rPr>
              <w:t>d</w:t>
            </w:r>
            <w:r w:rsidRPr="004F2CB3">
              <w:rPr>
                <w:b/>
              </w:rPr>
              <w:t xml:space="preserve"> </w:t>
            </w:r>
            <w:r>
              <w:rPr>
                <w:b/>
              </w:rPr>
              <w:t xml:space="preserve">only </w:t>
            </w:r>
            <w:r w:rsidRPr="000E3CD6">
              <w:rPr>
                <w:b/>
              </w:rPr>
              <w:t xml:space="preserve">a marginal increase in use of NDIS supports </w:t>
            </w:r>
            <w:r>
              <w:t xml:space="preserve">– that is, </w:t>
            </w:r>
            <w:r w:rsidRPr="000E3CD6">
              <w:t>an increase of less than $250 per participant each year.</w:t>
            </w:r>
            <w:r>
              <w:t xml:space="preserve"> Providers also reported </w:t>
            </w:r>
            <w:r w:rsidRPr="00862F62">
              <w:rPr>
                <w:b/>
              </w:rPr>
              <w:t>s</w:t>
            </w:r>
            <w:r w:rsidRPr="004F2CB3">
              <w:rPr>
                <w:b/>
              </w:rPr>
              <w:t>ub</w:t>
            </w:r>
            <w:r>
              <w:rPr>
                <w:b/>
              </w:rPr>
              <w:t>stantial financial</w:t>
            </w:r>
            <w:r w:rsidRPr="004F2CB3">
              <w:rPr>
                <w:b/>
              </w:rPr>
              <w:t xml:space="preserve"> </w:t>
            </w:r>
            <w:r>
              <w:rPr>
                <w:b/>
              </w:rPr>
              <w:t xml:space="preserve">and administrative </w:t>
            </w:r>
            <w:r w:rsidRPr="004F2CB3">
              <w:rPr>
                <w:b/>
              </w:rPr>
              <w:t xml:space="preserve">burden </w:t>
            </w:r>
            <w:r w:rsidRPr="00A7194C">
              <w:t xml:space="preserve">arising </w:t>
            </w:r>
            <w:r>
              <w:t>from additional claiming processes and reporting requirements.</w:t>
            </w:r>
          </w:p>
        </w:tc>
      </w:tr>
    </w:tbl>
    <w:p w14:paraId="60C6D392" w14:textId="77777777" w:rsidR="00033257" w:rsidRDefault="00033257" w:rsidP="00033257"/>
    <w:p w14:paraId="3D4E25C8" w14:textId="034DF544" w:rsidR="00804DDC" w:rsidRPr="00D64D30" w:rsidRDefault="00804DDC" w:rsidP="00192BE5">
      <w:pPr>
        <w:pStyle w:val="B4-Heading3"/>
      </w:pPr>
      <w:r w:rsidRPr="00174A3E">
        <w:rPr>
          <w:b w:val="0"/>
          <w:i/>
        </w:rPr>
        <w:t>Case Study 1</w:t>
      </w:r>
      <w:r w:rsidR="00033257">
        <w:t xml:space="preserve"> </w:t>
      </w:r>
      <w:r w:rsidRPr="00D64D30">
        <w:t>Mornington Island Thin Market Trial</w:t>
      </w:r>
      <w:r w:rsidRPr="00192BE5">
        <w:rPr>
          <w:rStyle w:val="EndnoteReference"/>
        </w:rPr>
        <w:endnoteReference w:id="15"/>
      </w:r>
      <w:r w:rsidRPr="00D64D30">
        <w:t xml:space="preserve"> </w:t>
      </w:r>
    </w:p>
    <w:p w14:paraId="7A0C407F" w14:textId="77777777" w:rsidR="00804DDC" w:rsidRDefault="00804DDC" w:rsidP="00192BE5">
      <w:pPr>
        <w:pStyle w:val="B4-Body"/>
      </w:pPr>
      <w:r>
        <w:t xml:space="preserve">NDIA commenced a CFP trial in Mornington Island – with over 20 participants residing in this very remote area – of which over 70% identified as First Nations people. When the NDIA commenced the trial in March 2020, average plan utilisation was 49.1%, indicating severe market gaps </w:t>
      </w:r>
      <w:r w:rsidRPr="00952602">
        <w:t>and significant low utilisation of NDIS funding</w:t>
      </w:r>
      <w:r>
        <w:t xml:space="preserve">. </w:t>
      </w:r>
    </w:p>
    <w:p w14:paraId="43134CFC" w14:textId="77777777" w:rsidR="00804DDC" w:rsidRDefault="00804DDC" w:rsidP="00192BE5">
      <w:pPr>
        <w:pStyle w:val="B4-Body"/>
      </w:pPr>
      <w:r>
        <w:t xml:space="preserve">As part of the trial, the NDIA </w:t>
      </w:r>
      <w:r w:rsidRPr="003B79C0">
        <w:t>conducted market facilitation activities for support coordinators and service provider</w:t>
      </w:r>
      <w:r>
        <w:t xml:space="preserve">s. The NDIA also </w:t>
      </w:r>
      <w:r w:rsidRPr="00AB2F2B">
        <w:t xml:space="preserve">set up a CFP working group for participants’ support coordinators. CFP helped </w:t>
      </w:r>
      <w:r>
        <w:t xml:space="preserve">to </w:t>
      </w:r>
      <w:r w:rsidRPr="00AB2F2B">
        <w:t>secure an allied health provider to fly in and deliver functio</w:t>
      </w:r>
      <w:r>
        <w:t xml:space="preserve">nal capacity assessments for 14 trial </w:t>
      </w:r>
      <w:r w:rsidRPr="003B79C0">
        <w:t>participants</w:t>
      </w:r>
      <w:r w:rsidRPr="00952602">
        <w:t>, with an additional participant receiving supports who was not part of the trial</w:t>
      </w:r>
      <w:r w:rsidRPr="00AB2F2B">
        <w:t>.</w:t>
      </w:r>
    </w:p>
    <w:p w14:paraId="567D3B55" w14:textId="77777777" w:rsidR="00804DDC" w:rsidRDefault="00804DDC" w:rsidP="00192BE5">
      <w:pPr>
        <w:pStyle w:val="B4-Body"/>
      </w:pPr>
      <w:r w:rsidRPr="00971102">
        <w:t xml:space="preserve">The </w:t>
      </w:r>
      <w:r>
        <w:t>NDIA’s evaluation of the trial</w:t>
      </w:r>
      <w:r w:rsidDel="00AB2F2B">
        <w:t xml:space="preserve"> </w:t>
      </w:r>
      <w:r>
        <w:t>found very little evidence that the market facilitation activities in the community has improved utilisation. However, the NDIA also found that after 10 months of operating, the CFP</w:t>
      </w:r>
      <w:r w:rsidRPr="003B79C0">
        <w:t xml:space="preserve"> had</w:t>
      </w:r>
      <w:r>
        <w:t xml:space="preserve"> significantly increased participant access to, and expenditure on, allied health supports.</w:t>
      </w:r>
    </w:p>
    <w:p w14:paraId="1D5A1947" w14:textId="77777777" w:rsidR="00804DDC" w:rsidRDefault="00804DDC" w:rsidP="00192BE5">
      <w:pPr>
        <w:pStyle w:val="B4-Body"/>
      </w:pPr>
      <w:r w:rsidRPr="00952602">
        <w:t>The average participant plan expenditure 12 months before the CFP commenced was $652, and 12 months post CFP it had increased to $7,027.</w:t>
      </w:r>
      <w:r>
        <w:t xml:space="preserve"> </w:t>
      </w:r>
    </w:p>
    <w:p w14:paraId="06A93F7D" w14:textId="248873C3" w:rsidR="00804DDC" w:rsidRDefault="00804DDC" w:rsidP="00192BE5">
      <w:pPr>
        <w:pStyle w:val="B4-Body"/>
      </w:pPr>
      <w:r>
        <w:t>NDIA attributes the increase in utilisation to the continuation of the CFP working group as a support coordinator community of practice. NDIA remote planners are heavily involved in facilitating and coordinating this group to identify and address service gaps in Mornington Island.</w:t>
      </w:r>
    </w:p>
    <w:p w14:paraId="2705D570" w14:textId="77777777" w:rsidR="00804DDC" w:rsidRDefault="00804DDC" w:rsidP="00F428FD">
      <w:pPr>
        <w:pStyle w:val="Heading3"/>
      </w:pPr>
      <w:r w:rsidRPr="00930134">
        <w:lastRenderedPageBreak/>
        <w:t xml:space="preserve">A more </w:t>
      </w:r>
      <w:r>
        <w:t>active and flexible approach to market stewardship</w:t>
      </w:r>
      <w:r w:rsidRPr="00930134">
        <w:t xml:space="preserve"> of the NDIS market is needed</w:t>
      </w:r>
      <w:r>
        <w:t xml:space="preserve"> </w:t>
      </w:r>
    </w:p>
    <w:p w14:paraId="25D9F930" w14:textId="77777777" w:rsidR="00804DDC" w:rsidRPr="00C00426" w:rsidRDefault="00804DDC" w:rsidP="00D64D30">
      <w:r>
        <w:t>The NDIA has been using a</w:t>
      </w:r>
      <w:r w:rsidRPr="00C00426">
        <w:t xml:space="preserve"> ‘least interventionist approach’ to achieve a better functioning and sustainable market</w:t>
      </w:r>
      <w:r>
        <w:t>, despite recognising</w:t>
      </w:r>
      <w:r w:rsidRPr="00C00426">
        <w:t xml:space="preserve"> some</w:t>
      </w:r>
      <w:r>
        <w:t xml:space="preserve"> thin markets may require several market</w:t>
      </w:r>
      <w:r w:rsidRPr="00C00426">
        <w:t xml:space="preserve"> </w:t>
      </w:r>
      <w:r>
        <w:t>interventions to be delivered iteratively over a long term</w:t>
      </w:r>
      <w:r w:rsidRPr="00C00426">
        <w:t xml:space="preserve">. </w:t>
      </w:r>
    </w:p>
    <w:p w14:paraId="36397590" w14:textId="77777777" w:rsidR="00804DDC" w:rsidRDefault="00804DDC" w:rsidP="00D64D30">
      <w:r>
        <w:t>This</w:t>
      </w:r>
      <w:r w:rsidRPr="00C00426">
        <w:t xml:space="preserve"> approach, however, reflects a </w:t>
      </w:r>
      <w:r>
        <w:t xml:space="preserve">more rigid and time-limited application of a </w:t>
      </w:r>
      <w:r w:rsidRPr="00C00426">
        <w:t>stewardship framework more su</w:t>
      </w:r>
      <w:r>
        <w:t>ited to private sector markets.</w:t>
      </w:r>
    </w:p>
    <w:p w14:paraId="555FE7F5" w14:textId="77777777" w:rsidR="00804DDC" w:rsidRDefault="00804DDC" w:rsidP="00D64D30">
      <w:r>
        <w:t>S</w:t>
      </w:r>
      <w:r w:rsidRPr="00C00426">
        <w:t>ocial service</w:t>
      </w:r>
      <w:r>
        <w:t>s, including the NDIS which is fully funded by government, are best</w:t>
      </w:r>
      <w:r w:rsidRPr="00C00426">
        <w:t xml:space="preserve"> described as ‘quasi markets’. These markets require a higher level of market intervention relative to private sector markets.</w:t>
      </w:r>
      <w:r>
        <w:t xml:space="preserve"> </w:t>
      </w:r>
    </w:p>
    <w:p w14:paraId="5B528941" w14:textId="77777777" w:rsidR="00804DDC" w:rsidRDefault="00804DDC" w:rsidP="00D64D30">
      <w:r w:rsidRPr="00C00426">
        <w:t>Governments do more than just set the rules of engagement</w:t>
      </w:r>
      <w:r>
        <w:t xml:space="preserve"> or act as a</w:t>
      </w:r>
      <w:r w:rsidRPr="00C00426">
        <w:t xml:space="preserve"> funding </w:t>
      </w:r>
      <w:r>
        <w:t>body. As market</w:t>
      </w:r>
      <w:r w:rsidRPr="00C00426">
        <w:t xml:space="preserve"> stewards</w:t>
      </w:r>
      <w:r>
        <w:t>, governments also oversee</w:t>
      </w:r>
      <w:r w:rsidRPr="00C00426">
        <w:t xml:space="preserve"> these markets</w:t>
      </w:r>
      <w:r>
        <w:t xml:space="preserve"> and intervene when necessary. They need to monitor</w:t>
      </w:r>
      <w:r w:rsidRPr="00C00426">
        <w:t xml:space="preserve"> outcomes</w:t>
      </w:r>
      <w:r>
        <w:t xml:space="preserve"> and</w:t>
      </w:r>
      <w:r w:rsidRPr="00C00426">
        <w:t xml:space="preserve"> carefully balance considerations of efficiency</w:t>
      </w:r>
      <w:r>
        <w:t xml:space="preserve">, </w:t>
      </w:r>
      <w:r w:rsidRPr="00C00426">
        <w:t>effectiveness</w:t>
      </w:r>
      <w:r>
        <w:t xml:space="preserve"> and equity</w:t>
      </w:r>
      <w:r>
        <w:rPr>
          <w:rStyle w:val="EndnoteReference"/>
        </w:rPr>
        <w:endnoteReference w:id="16"/>
      </w:r>
      <w:r w:rsidRPr="00C00426">
        <w:t xml:space="preserve">. </w:t>
      </w:r>
    </w:p>
    <w:p w14:paraId="086867FF" w14:textId="77777777" w:rsidR="00804DDC" w:rsidRPr="00C00426" w:rsidRDefault="00804DDC" w:rsidP="00D64D30">
      <w:r w:rsidRPr="00DE165A">
        <w:t>Alternative commissioning approaches</w:t>
      </w:r>
      <w:r>
        <w:t xml:space="preserve"> in the NDIS</w:t>
      </w:r>
      <w:r w:rsidRPr="00DE165A">
        <w:t xml:space="preserve"> are yet to be explored extensively despite the pressing need</w:t>
      </w:r>
      <w:r>
        <w:t xml:space="preserve">. </w:t>
      </w:r>
    </w:p>
    <w:p w14:paraId="286A4BE6" w14:textId="77777777" w:rsidR="00804DDC" w:rsidRDefault="00804DDC" w:rsidP="00D64D30">
      <w:pPr>
        <w:pStyle w:val="Quote"/>
      </w:pPr>
      <w:r>
        <w:t xml:space="preserve">… rigid adherence to individualisation can have a negative effect, particularly when it is clear that some participants cannot access the supports they need, even when a robust market has been established. </w:t>
      </w:r>
    </w:p>
    <w:p w14:paraId="10EE7B1E" w14:textId="77777777" w:rsidR="00804DDC" w:rsidRDefault="00804DDC" w:rsidP="00F428FD">
      <w:pPr>
        <w:pStyle w:val="Quote"/>
      </w:pPr>
      <w:r>
        <w:t>– Tune Review 2019</w:t>
      </w:r>
      <w:r w:rsidRPr="008F5BEC">
        <w:rPr>
          <w:rStyle w:val="EndnoteReference"/>
        </w:rPr>
        <w:t xml:space="preserve"> </w:t>
      </w:r>
      <w:r>
        <w:rPr>
          <w:rStyle w:val="EndnoteReference"/>
        </w:rPr>
        <w:endnoteReference w:id="17"/>
      </w:r>
    </w:p>
    <w:p w14:paraId="27F5E918" w14:textId="77777777" w:rsidR="00804DDC" w:rsidRDefault="00804DDC" w:rsidP="00D64D30">
      <w:r>
        <w:t>Past reviews and inquiries have repeatedly called for alternative commissioning approaches to be explored where market approaches are failing – particularly</w:t>
      </w:r>
      <w:r w:rsidRPr="006A5327">
        <w:t xml:space="preserve"> </w:t>
      </w:r>
      <w:r w:rsidRPr="00F962FA">
        <w:t>for remote and very remote communities</w:t>
      </w:r>
      <w:r>
        <w:t xml:space="preserve"> (</w:t>
      </w:r>
      <w:r>
        <w:fldChar w:fldCharType="begin"/>
      </w:r>
      <w:r>
        <w:instrText xml:space="preserve"> REF _Ref125126495 \h </w:instrText>
      </w:r>
      <w:r>
        <w:fldChar w:fldCharType="separate"/>
      </w:r>
      <w:r>
        <w:t xml:space="preserve">Figure </w:t>
      </w:r>
      <w:r>
        <w:rPr>
          <w:noProof/>
        </w:rPr>
        <w:t>7</w:t>
      </w:r>
      <w:r>
        <w:fldChar w:fldCharType="end"/>
      </w:r>
      <w:r>
        <w:t>).</w:t>
      </w:r>
      <w:r w:rsidRPr="0012770D">
        <w:t xml:space="preserve"> </w:t>
      </w:r>
      <w:r>
        <w:t>Yet o</w:t>
      </w:r>
      <w:r w:rsidRPr="00F962FA">
        <w:t xml:space="preserve">nly three trials </w:t>
      </w:r>
      <w:r>
        <w:t xml:space="preserve">used direct commissioning, and only </w:t>
      </w:r>
      <w:r w:rsidRPr="00F962FA">
        <w:t xml:space="preserve">one </w:t>
      </w:r>
      <w:r>
        <w:t>was undertaken in</w:t>
      </w:r>
      <w:r w:rsidRPr="00F962FA">
        <w:t xml:space="preserve"> </w:t>
      </w:r>
      <w:r>
        <w:t xml:space="preserve">a </w:t>
      </w:r>
      <w:r w:rsidRPr="00F962FA">
        <w:t>very remote context.</w:t>
      </w:r>
    </w:p>
    <w:p w14:paraId="6F59618D" w14:textId="1EB19D5A" w:rsidR="00804DDC" w:rsidRPr="00F428FD" w:rsidRDefault="00804DDC" w:rsidP="00304015">
      <w:r>
        <w:t xml:space="preserve">The </w:t>
      </w:r>
      <w:r w:rsidRPr="00BC6B53">
        <w:t>market coordination tools</w:t>
      </w:r>
      <w:r>
        <w:t>,</w:t>
      </w:r>
      <w:r w:rsidRPr="00C00426">
        <w:t xml:space="preserve"> </w:t>
      </w:r>
      <w:r>
        <w:t xml:space="preserve">which have been used throughout the thin market trials, </w:t>
      </w:r>
      <w:r w:rsidRPr="00C00426">
        <w:t>have an important role to play in the broader delivery of the NDIS</w:t>
      </w:r>
      <w:r>
        <w:t xml:space="preserve"> and in building these market structures. They </w:t>
      </w:r>
      <w:r w:rsidRPr="000F0CDF">
        <w:t>lay the</w:t>
      </w:r>
      <w:r>
        <w:t xml:space="preserve"> groundwork for future approaches to thin markets and highlight implementation considerations and challenges.</w:t>
      </w:r>
      <w:r>
        <w:br w:type="page"/>
      </w:r>
    </w:p>
    <w:p w14:paraId="223AFBFD" w14:textId="779700B5" w:rsidR="00804DDC" w:rsidRDefault="00804DDC" w:rsidP="00F428FD">
      <w:pPr>
        <w:pStyle w:val="Figure"/>
      </w:pPr>
      <w:bookmarkStart w:id="39" w:name="fig7"/>
      <w:r>
        <w:lastRenderedPageBreak/>
        <w:t xml:space="preserve">Numerous </w:t>
      </w:r>
      <w:r w:rsidRPr="00406E25">
        <w:t xml:space="preserve">past reviews and inquiries </w:t>
      </w:r>
      <w:r>
        <w:t>recommended alternative funding</w:t>
      </w:r>
      <w:r>
        <w:br/>
      </w:r>
      <w:r w:rsidRPr="00406E25">
        <w:t>and alternative commissioning approaches</w:t>
      </w:r>
      <w:r>
        <w:t>, particularly for remote and</w:t>
      </w:r>
      <w:r>
        <w:br/>
      </w:r>
      <w:r w:rsidRPr="00406E25">
        <w:t>very remote communities</w:t>
      </w:r>
    </w:p>
    <w:bookmarkEnd w:id="39"/>
    <w:p w14:paraId="09E4C933" w14:textId="3B5BAE92" w:rsidR="00804DDC" w:rsidRDefault="00804DDC" w:rsidP="00D64D30">
      <w:r>
        <w:rPr>
          <w:noProof/>
          <w:lang w:eastAsia="en-AU"/>
        </w:rPr>
        <w:drawing>
          <wp:inline distT="0" distB="0" distL="0" distR="0" wp14:anchorId="55F1FBCD" wp14:editId="4B03ED72">
            <wp:extent cx="6120130" cy="5464810"/>
            <wp:effectExtent l="0" t="0" r="0" b="0"/>
            <wp:docPr id="24" name="Picture 24" descr="Figure 7.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C-Figure 7.png"/>
                    <pic:cNvPicPr/>
                  </pic:nvPicPr>
                  <pic:blipFill>
                    <a:blip r:embed="rId30">
                      <a:extLst>
                        <a:ext uri="{28A0092B-C50C-407E-A947-70E740481C1C}">
                          <a14:useLocalDpi xmlns:a14="http://schemas.microsoft.com/office/drawing/2010/main" val="0"/>
                        </a:ext>
                      </a:extLst>
                    </a:blip>
                    <a:stretch>
                      <a:fillRect/>
                    </a:stretch>
                  </pic:blipFill>
                  <pic:spPr>
                    <a:xfrm>
                      <a:off x="0" y="0"/>
                      <a:ext cx="6120130" cy="5464810"/>
                    </a:xfrm>
                    <a:prstGeom prst="rect">
                      <a:avLst/>
                    </a:prstGeom>
                  </pic:spPr>
                </pic:pic>
              </a:graphicData>
            </a:graphic>
          </wp:inline>
        </w:drawing>
      </w:r>
    </w:p>
    <w:p w14:paraId="4744E530" w14:textId="45D2D7A8" w:rsidR="00804DDC" w:rsidRDefault="00050BFB" w:rsidP="00D64D30">
      <w:hyperlink w:anchor="fig7" w:history="1">
        <w:r w:rsidR="00EB7A34" w:rsidRPr="00EB7A34">
          <w:rPr>
            <w:rStyle w:val="Hyperlink"/>
            <w:rFonts w:asciiTheme="minorHAnsi" w:hAnsiTheme="minorHAnsi"/>
          </w:rPr>
          <w:t>F</w:t>
        </w:r>
        <w:r w:rsidR="00804DDC" w:rsidRPr="00EB7A34">
          <w:rPr>
            <w:rStyle w:val="Hyperlink"/>
            <w:rFonts w:asciiTheme="minorHAnsi" w:hAnsiTheme="minorHAnsi"/>
          </w:rPr>
          <w:t>igure 7</w:t>
        </w:r>
        <w:r w:rsidR="00EB7A34" w:rsidRPr="00EB7A34">
          <w:rPr>
            <w:rStyle w:val="Hyperlink"/>
            <w:rFonts w:asciiTheme="minorHAnsi" w:hAnsiTheme="minorHAnsi"/>
          </w:rPr>
          <w:t xml:space="preserve"> text description</w:t>
        </w:r>
      </w:hyperlink>
    </w:p>
    <w:p w14:paraId="6C991576" w14:textId="36FEDCDC" w:rsidR="00804DDC" w:rsidRPr="00033257" w:rsidRDefault="00804DDC" w:rsidP="00033257">
      <w:pPr>
        <w:pStyle w:val="B5-Heading3"/>
      </w:pPr>
      <w:r w:rsidRPr="00033257">
        <w:t>Finding 1</w:t>
      </w:r>
      <w:r w:rsidR="00033257" w:rsidRPr="00033257">
        <w:t xml:space="preserve"> </w:t>
      </w:r>
      <w:r w:rsidRPr="00033257">
        <w:rPr>
          <w:b/>
        </w:rPr>
        <w:t>Market stewardship efforts to date have been too narrow</w:t>
      </w:r>
    </w:p>
    <w:p w14:paraId="47D9334C" w14:textId="77777777" w:rsidR="00804DDC" w:rsidRDefault="00804DDC" w:rsidP="00174A3E">
      <w:pPr>
        <w:pStyle w:val="B5-Body"/>
      </w:pPr>
      <w:r>
        <w:t>Previous</w:t>
      </w:r>
      <w:r w:rsidRPr="00930134">
        <w:t xml:space="preserve"> reviews have called for employing alternative commissioning approaches to address </w:t>
      </w:r>
      <w:r>
        <w:t xml:space="preserve">persistent </w:t>
      </w:r>
      <w:r w:rsidRPr="00930134">
        <w:t>market gaps</w:t>
      </w:r>
      <w:r>
        <w:t>, particularly</w:t>
      </w:r>
      <w:r w:rsidRPr="00930134">
        <w:t xml:space="preserve"> for </w:t>
      </w:r>
      <w:r>
        <w:t xml:space="preserve">remote </w:t>
      </w:r>
      <w:r w:rsidRPr="00930134">
        <w:t>communities. However, few alternative commissioning approaches have been explored</w:t>
      </w:r>
      <w:r>
        <w:t xml:space="preserve"> in the scheme</w:t>
      </w:r>
      <w:r w:rsidRPr="00930134">
        <w:t>.</w:t>
      </w:r>
    </w:p>
    <w:p w14:paraId="7291C5F2" w14:textId="77777777" w:rsidR="00804DDC" w:rsidRDefault="00804DDC" w:rsidP="00174A3E">
      <w:pPr>
        <w:pStyle w:val="B5-Body"/>
      </w:pPr>
      <w:r w:rsidRPr="00930134">
        <w:t xml:space="preserve">A more </w:t>
      </w:r>
      <w:r>
        <w:t xml:space="preserve">active and </w:t>
      </w:r>
      <w:r w:rsidRPr="00930134">
        <w:t>flexible role for governments as stewards of the NDIS market is needed</w:t>
      </w:r>
      <w:r>
        <w:t xml:space="preserve"> </w:t>
      </w:r>
      <w:r w:rsidRPr="00930134">
        <w:t xml:space="preserve">to address persistent market challenges. </w:t>
      </w:r>
    </w:p>
    <w:p w14:paraId="5D63BEDC" w14:textId="77777777" w:rsidR="00804DDC" w:rsidRDefault="00804DDC" w:rsidP="00174A3E">
      <w:pPr>
        <w:pStyle w:val="B5-Body"/>
      </w:pPr>
      <w:r w:rsidRPr="00930134">
        <w:t xml:space="preserve">The </w:t>
      </w:r>
      <w:r>
        <w:t xml:space="preserve">NDIS </w:t>
      </w:r>
      <w:r w:rsidRPr="00930134">
        <w:t xml:space="preserve">Review </w:t>
      </w:r>
      <w:r>
        <w:t>is exploring and engaging with relevant parties on</w:t>
      </w:r>
      <w:r w:rsidRPr="00930134">
        <w:t xml:space="preserve"> how</w:t>
      </w:r>
      <w:r>
        <w:t xml:space="preserve"> to build on the learnings of the recent thin market trials</w:t>
      </w:r>
      <w:r w:rsidRPr="00930134">
        <w:t xml:space="preserve"> </w:t>
      </w:r>
      <w:r>
        <w:t xml:space="preserve">to consider how </w:t>
      </w:r>
      <w:r w:rsidRPr="00930134">
        <w:t xml:space="preserve">market </w:t>
      </w:r>
      <w:r w:rsidRPr="00BC6B53">
        <w:t>coordination tools</w:t>
      </w:r>
      <w:r>
        <w:t xml:space="preserve"> and</w:t>
      </w:r>
      <w:r w:rsidRPr="00963CAA">
        <w:t xml:space="preserve"> </w:t>
      </w:r>
      <w:r>
        <w:t xml:space="preserve">other </w:t>
      </w:r>
      <w:r w:rsidRPr="00963CAA">
        <w:t>market mechanisms</w:t>
      </w:r>
      <w:r>
        <w:t xml:space="preserve"> could be applied and scaled </w:t>
      </w:r>
      <w:r w:rsidRPr="00930134">
        <w:t>up in the NDIS</w:t>
      </w:r>
      <w:r w:rsidRPr="00321910">
        <w:t>.</w:t>
      </w:r>
      <w:r w:rsidRPr="0001442E">
        <w:t xml:space="preserve"> </w:t>
      </w:r>
    </w:p>
    <w:p w14:paraId="569DF821" w14:textId="77777777" w:rsidR="00804DDC" w:rsidRDefault="00804DDC" w:rsidP="00174A3E">
      <w:pPr>
        <w:pStyle w:val="B5-Body"/>
      </w:pPr>
      <w:r w:rsidRPr="0001442E">
        <w:lastRenderedPageBreak/>
        <w:t xml:space="preserve">Even so, steps </w:t>
      </w:r>
      <w:r>
        <w:t>should</w:t>
      </w:r>
      <w:r w:rsidRPr="0001442E">
        <w:t xml:space="preserve"> be taken now to address some of the most pressing market gaps for First Nations</w:t>
      </w:r>
      <w:r>
        <w:t xml:space="preserve"> participants</w:t>
      </w:r>
      <w:r w:rsidRPr="0001442E">
        <w:t xml:space="preserve"> </w:t>
      </w:r>
      <w:r>
        <w:t xml:space="preserve">and remote </w:t>
      </w:r>
      <w:r w:rsidRPr="0001442E">
        <w:t>communities</w:t>
      </w:r>
      <w:r>
        <w:t xml:space="preserve"> (which include First Nations and non</w:t>
      </w:r>
      <w:r>
        <w:noBreakHyphen/>
        <w:t>Indigenous participants)</w:t>
      </w:r>
      <w:r w:rsidRPr="0001442E">
        <w:t>.</w:t>
      </w:r>
    </w:p>
    <w:p w14:paraId="17B408F3" w14:textId="5681067D" w:rsidR="00804DDC" w:rsidRDefault="00804DDC">
      <w:pPr>
        <w:spacing w:after="200" w:line="288" w:lineRule="auto"/>
      </w:pPr>
      <w:r>
        <w:br w:type="page"/>
      </w:r>
    </w:p>
    <w:p w14:paraId="349C72A9" w14:textId="4ECE62B8" w:rsidR="00804DDC" w:rsidRDefault="00804DDC" w:rsidP="00C93980">
      <w:pPr>
        <w:pStyle w:val="Heading2"/>
        <w:numPr>
          <w:ilvl w:val="0"/>
          <w:numId w:val="11"/>
        </w:numPr>
        <w:ind w:left="567" w:hanging="633"/>
      </w:pPr>
      <w:bookmarkStart w:id="40" w:name="_Toc124527758"/>
      <w:bookmarkStart w:id="41" w:name="_Toc124670943"/>
      <w:bookmarkStart w:id="42" w:name="_Toc124685427"/>
      <w:bookmarkStart w:id="43" w:name="_Toc124760128"/>
      <w:bookmarkStart w:id="44" w:name="_Toc124762105"/>
      <w:bookmarkStart w:id="45" w:name="_Toc125040834"/>
      <w:bookmarkStart w:id="46" w:name="_Toc136350276"/>
      <w:bookmarkStart w:id="47" w:name="_Toc136522398"/>
      <w:bookmarkStart w:id="48" w:name="_Toc124362728"/>
      <w:bookmarkStart w:id="49" w:name="_Toc124412357"/>
      <w:bookmarkStart w:id="50" w:name="_Toc124445172"/>
      <w:bookmarkStart w:id="51" w:name="_Toc124456000"/>
      <w:bookmarkStart w:id="52" w:name="_Toc124424843"/>
      <w:r>
        <w:lastRenderedPageBreak/>
        <w:t>Opportunities for more culturally appropriate and</w:t>
      </w:r>
      <w:r>
        <w:rPr>
          <w:rStyle w:val="CommentReference"/>
          <w:rFonts w:asciiTheme="minorHAnsi" w:eastAsiaTheme="minorEastAsia" w:hAnsiTheme="minorHAnsi" w:cstheme="minorBidi"/>
          <w:color w:val="auto"/>
        </w:rPr>
        <w:t xml:space="preserve"> </w:t>
      </w:r>
      <w:r>
        <w:t>sustainable services in First Nations communities and remot</w:t>
      </w:r>
      <w:bookmarkEnd w:id="40"/>
      <w:r>
        <w:t>e communities</w:t>
      </w:r>
      <w:bookmarkEnd w:id="41"/>
      <w:bookmarkEnd w:id="42"/>
      <w:bookmarkEnd w:id="43"/>
      <w:bookmarkEnd w:id="44"/>
      <w:bookmarkEnd w:id="45"/>
      <w:bookmarkEnd w:id="46"/>
      <w:bookmarkEnd w:id="47"/>
    </w:p>
    <w:bookmarkEnd w:id="48"/>
    <w:bookmarkEnd w:id="49"/>
    <w:bookmarkEnd w:id="50"/>
    <w:bookmarkEnd w:id="51"/>
    <w:bookmarkEnd w:id="52"/>
    <w:p w14:paraId="70E78373" w14:textId="77777777" w:rsidR="00804DDC" w:rsidRDefault="00804DDC" w:rsidP="009B2118">
      <w:r>
        <w:t>Evidence from past and ongoing reviews and inquiries</w:t>
      </w:r>
      <w:r>
        <w:rPr>
          <w:rStyle w:val="EndnoteReference"/>
        </w:rPr>
        <w:endnoteReference w:id="18"/>
      </w:r>
      <w:r>
        <w:t xml:space="preserve"> continues to show that the current market-based model with individualised funding arrangements persistently fail to meet the needs of both First Nations and remote communities. </w:t>
      </w:r>
    </w:p>
    <w:p w14:paraId="7CAACC9B" w14:textId="77777777" w:rsidR="00804DDC" w:rsidRDefault="00804DDC" w:rsidP="009B2118">
      <w:pPr>
        <w:pStyle w:val="Quote"/>
      </w:pPr>
      <w:r>
        <w:t>Whilst there are thin markets and gaps in available disability services and supports in all locations that are culturally inclusive and safe, there are additional thin market challenges in rural, remote, very remote locations.</w:t>
      </w:r>
      <w:r w:rsidRPr="00DC160C">
        <w:t xml:space="preserve"> For example, cost, existence of community-controlled organisations already delivering a range of services with different reporting, regulatory and governance requirements, workforce, and appropriate infrastructure. This exists for both NDIS and non-NDIS related service delivery.</w:t>
      </w:r>
      <w:r>
        <w:t xml:space="preserve"> </w:t>
      </w:r>
    </w:p>
    <w:p w14:paraId="3F786400" w14:textId="77777777" w:rsidR="00804DDC" w:rsidRDefault="00804DDC" w:rsidP="009B2118">
      <w:pPr>
        <w:pStyle w:val="Quote"/>
      </w:pPr>
      <w:r>
        <w:t xml:space="preserve">– </w:t>
      </w:r>
      <w:r w:rsidRPr="00DC160C">
        <w:t>Closing the Gap Disability Sector Strengthening Plan 2022</w:t>
      </w:r>
      <w:r>
        <w:rPr>
          <w:rStyle w:val="EndnoteReference"/>
        </w:rPr>
        <w:endnoteReference w:id="19"/>
      </w:r>
    </w:p>
    <w:p w14:paraId="08A11A10" w14:textId="77777777" w:rsidR="00804DDC" w:rsidRDefault="00804DDC" w:rsidP="009B2118">
      <w:r>
        <w:t xml:space="preserve">The NDIS has gone some way to improving equity in access to supports for First Nations people with disability. </w:t>
      </w:r>
      <w:r w:rsidRPr="0009492E">
        <w:t xml:space="preserve">As at </w:t>
      </w:r>
      <w:r>
        <w:t>31 December</w:t>
      </w:r>
      <w:r w:rsidRPr="0009492E">
        <w:t xml:space="preserve"> 2022, 7.4</w:t>
      </w:r>
      <w:r>
        <w:t>%</w:t>
      </w:r>
      <w:r w:rsidRPr="0009492E">
        <w:t xml:space="preserve"> of NDIS participants identify as First Nations participants</w:t>
      </w:r>
      <w:r>
        <w:rPr>
          <w:rStyle w:val="EndnoteReference"/>
        </w:rPr>
        <w:endnoteReference w:id="20"/>
      </w:r>
      <w:r w:rsidRPr="0009492E">
        <w:t>. Over 60</w:t>
      </w:r>
      <w:r>
        <w:t>%</w:t>
      </w:r>
      <w:r w:rsidRPr="0009492E">
        <w:t xml:space="preserve"> of First Nations participants in remote and very remote communities are receiving disability supports for the first time</w:t>
      </w:r>
      <w:r>
        <w:rPr>
          <w:rStyle w:val="EndnoteReference"/>
        </w:rPr>
        <w:endnoteReference w:id="21"/>
      </w:r>
      <w:r w:rsidRPr="0009492E">
        <w:t>.</w:t>
      </w:r>
    </w:p>
    <w:p w14:paraId="277184EC" w14:textId="77777777" w:rsidR="00804DDC" w:rsidRDefault="00804DDC" w:rsidP="009B2118">
      <w:r>
        <w:t xml:space="preserve">However, First Nations participants and participants living in remote communities still face persistent challenges in accessing NDIS supports. Broader systemic issues around the participant experience with the NDIS are exacerbated. </w:t>
      </w:r>
    </w:p>
    <w:p w14:paraId="4905128C" w14:textId="77777777" w:rsidR="00804DDC" w:rsidRDefault="00804DDC" w:rsidP="009B2118">
      <w:pPr>
        <w:pStyle w:val="Quote"/>
      </w:pPr>
      <w:r w:rsidRPr="00C35F62">
        <w:t>We have received inconsistent advice on whether ‘return to country’ for short visits to connect with family, or participate in ceremony, is funded under the NDIS as some planners have considered those visits as a holiday rather than a cultural, necessary and reasonable support requirement</w:t>
      </w:r>
      <w:r w:rsidRPr="00816882">
        <w:t>.</w:t>
      </w:r>
      <w:r>
        <w:t xml:space="preserve"> </w:t>
      </w:r>
    </w:p>
    <w:p w14:paraId="62A56344" w14:textId="77777777" w:rsidR="00804DDC" w:rsidRDefault="00804DDC" w:rsidP="009B2118">
      <w:pPr>
        <w:pStyle w:val="Quote"/>
      </w:pPr>
      <w:r>
        <w:t xml:space="preserve">– </w:t>
      </w:r>
      <w:r w:rsidRPr="009B2118">
        <w:t>Somerville</w:t>
      </w:r>
      <w:r>
        <w:t xml:space="preserve"> Community Services</w:t>
      </w:r>
      <w:r>
        <w:rPr>
          <w:rStyle w:val="EndnoteReference"/>
        </w:rPr>
        <w:endnoteReference w:id="22"/>
      </w:r>
    </w:p>
    <w:p w14:paraId="7DDE22CF" w14:textId="77777777" w:rsidR="00804DDC" w:rsidRDefault="00804DDC" w:rsidP="009B2118">
      <w:r>
        <w:t xml:space="preserve">Improving outcomes for </w:t>
      </w:r>
      <w:r w:rsidDel="00097382">
        <w:t xml:space="preserve">First Nations </w:t>
      </w:r>
      <w:r>
        <w:t>participants require accessible, culturally appropriate NDIS supports that take into account the strengths of First Nations communities.</w:t>
      </w:r>
      <w:r w:rsidRPr="00DA7401">
        <w:t xml:space="preserve"> </w:t>
      </w:r>
    </w:p>
    <w:p w14:paraId="4DEA49BF" w14:textId="77777777" w:rsidR="00804DDC" w:rsidRDefault="00804DDC" w:rsidP="009B2118">
      <w:r>
        <w:t>A historic lack of services within remote communities pre-dates the NDIS and has led to limited or no knowledge and understanding of disability supports</w:t>
      </w:r>
      <w:r>
        <w:rPr>
          <w:rStyle w:val="EndnoteReference"/>
        </w:rPr>
        <w:endnoteReference w:id="23"/>
      </w:r>
      <w:r>
        <w:t>.</w:t>
      </w:r>
      <w:r w:rsidRPr="00DA7401">
        <w:rPr>
          <w:rStyle w:val="EndnoteReference"/>
        </w:rPr>
        <w:t xml:space="preserve"> </w:t>
      </w:r>
      <w:r>
        <w:t>In remote communities, the increased demand for services - which has been driven by the NDIS – has often not been met with an increase in services</w:t>
      </w:r>
      <w:r>
        <w:rPr>
          <w:rStyle w:val="EndnoteReference"/>
        </w:rPr>
        <w:endnoteReference w:id="24"/>
      </w:r>
      <w:r>
        <w:t xml:space="preserve">. </w:t>
      </w:r>
    </w:p>
    <w:p w14:paraId="301C099E" w14:textId="77777777" w:rsidR="00804DDC" w:rsidRPr="000D0B98" w:rsidRDefault="00804DDC" w:rsidP="009B2118">
      <w:pPr>
        <w:pStyle w:val="Heading3"/>
      </w:pPr>
      <w:bookmarkStart w:id="53" w:name="_Toc124362729"/>
      <w:bookmarkStart w:id="54" w:name="_Toc124412358"/>
      <w:bookmarkStart w:id="55" w:name="_Toc124424844"/>
      <w:bookmarkStart w:id="56" w:name="_Toc124445173"/>
      <w:bookmarkStart w:id="57" w:name="_Toc124456001"/>
      <w:bookmarkStart w:id="58" w:name="_Toc123744767"/>
      <w:bookmarkStart w:id="59" w:name="_Toc123825823"/>
      <w:bookmarkStart w:id="60" w:name="_Toc123831279"/>
      <w:bookmarkStart w:id="61" w:name="_Toc123923515"/>
      <w:bookmarkStart w:id="62" w:name="_Toc123924176"/>
      <w:bookmarkStart w:id="63" w:name="_Toc123924421"/>
      <w:bookmarkStart w:id="64" w:name="_Toc123926016"/>
      <w:r w:rsidRPr="000D0B98">
        <w:lastRenderedPageBreak/>
        <w:t>Community-driven alternative commissioning approaches can strengthen the community-controlled disability sector</w:t>
      </w:r>
      <w:bookmarkEnd w:id="53"/>
      <w:bookmarkEnd w:id="54"/>
      <w:bookmarkEnd w:id="55"/>
      <w:bookmarkEnd w:id="56"/>
      <w:bookmarkEnd w:id="57"/>
    </w:p>
    <w:bookmarkEnd w:id="58"/>
    <w:bookmarkEnd w:id="59"/>
    <w:bookmarkEnd w:id="60"/>
    <w:bookmarkEnd w:id="61"/>
    <w:bookmarkEnd w:id="62"/>
    <w:bookmarkEnd w:id="63"/>
    <w:bookmarkEnd w:id="64"/>
    <w:p w14:paraId="3EA9B516" w14:textId="77777777" w:rsidR="00804DDC" w:rsidRDefault="00804DDC" w:rsidP="009B2118">
      <w:r>
        <w:t>Complex NDIS policies and processes have made it</w:t>
      </w:r>
      <w:r w:rsidDel="00B87505">
        <w:t xml:space="preserve"> </w:t>
      </w:r>
      <w:r>
        <w:t xml:space="preserve">difficult for First Nations people with disability to access and navigate the NDIS. The relatively low number of First Nations participants with a plan and the cultural appropriateness of planning processes were among the many concerns raised during the 2020 Joint Standing Committee Inquiry into NDIS Planning. </w:t>
      </w:r>
    </w:p>
    <w:p w14:paraId="0F94D9CC" w14:textId="77777777" w:rsidR="00804DDC" w:rsidRDefault="00804DDC" w:rsidP="009B2118">
      <w:r>
        <w:t>Compared to non-Indigenous participants, First Nations participants have higher value plans. Lower levels of plan utilisation arise from lower levels of spending</w:t>
      </w:r>
      <w:r>
        <w:rPr>
          <w:rStyle w:val="EndnoteReference"/>
        </w:rPr>
        <w:endnoteReference w:id="25"/>
      </w:r>
      <w:r>
        <w:t xml:space="preserve">. </w:t>
      </w:r>
    </w:p>
    <w:p w14:paraId="5C74218D" w14:textId="77777777" w:rsidR="00804DDC" w:rsidRDefault="00804DDC" w:rsidP="009B2118">
      <w:r>
        <w:t>Limited availability of accessible, culturally appropriate care and supports (</w:t>
      </w:r>
      <w:r>
        <w:fldChar w:fldCharType="begin"/>
      </w:r>
      <w:r>
        <w:instrText xml:space="preserve"> REF _Ref124241280 \h </w:instrText>
      </w:r>
      <w:r>
        <w:fldChar w:fldCharType="separate"/>
      </w:r>
      <w:r w:rsidRPr="007F08AE">
        <w:t>Figure</w:t>
      </w:r>
      <w:r w:rsidRPr="008D32F6">
        <w:rPr>
          <w:color w:val="092B57" w:themeColor="accent6"/>
        </w:rPr>
        <w:t xml:space="preserve"> </w:t>
      </w:r>
      <w:r>
        <w:rPr>
          <w:noProof/>
        </w:rPr>
        <w:t>8</w:t>
      </w:r>
      <w:r>
        <w:fldChar w:fldCharType="end"/>
      </w:r>
      <w:r>
        <w:t xml:space="preserve">) may mean First Nations participants need to choose between getting culturally unsafe supports, and not getting funded supports at all. </w:t>
      </w:r>
    </w:p>
    <w:p w14:paraId="6E381222" w14:textId="77777777" w:rsidR="00804DDC" w:rsidRDefault="00804DDC" w:rsidP="009B2118">
      <w:pPr>
        <w:pStyle w:val="Quote"/>
        <w:rPr>
          <w:shd w:val="clear" w:color="auto" w:fill="FFFFFF"/>
        </w:rPr>
      </w:pPr>
      <w:r>
        <w:rPr>
          <w:shd w:val="clear" w:color="auto" w:fill="FFFFFF"/>
        </w:rPr>
        <w:t xml:space="preserve">Aboriginal people will only access those services where they feel culturally safe and prefer to use Aboriginal community-controlled health services when available. </w:t>
      </w:r>
    </w:p>
    <w:p w14:paraId="781CA27A" w14:textId="77777777" w:rsidR="00804DDC" w:rsidRDefault="00804DDC" w:rsidP="009B2118">
      <w:pPr>
        <w:pStyle w:val="Quote"/>
      </w:pPr>
      <w:r>
        <w:rPr>
          <w:shd w:val="clear" w:color="auto" w:fill="FFFFFF"/>
        </w:rPr>
        <w:t xml:space="preserve">– </w:t>
      </w:r>
      <w:r w:rsidRPr="009B2118">
        <w:t>Aboriginal</w:t>
      </w:r>
      <w:r w:rsidRPr="001F2E8B">
        <w:rPr>
          <w:shd w:val="clear" w:color="auto" w:fill="FFFFFF"/>
        </w:rPr>
        <w:t xml:space="preserve"> Health Council of South Australia</w:t>
      </w:r>
      <w:r>
        <w:rPr>
          <w:shd w:val="clear" w:color="auto" w:fill="FFFFFF"/>
        </w:rPr>
        <w:t xml:space="preserve"> Ltd (AHCSA)</w:t>
      </w:r>
      <w:r w:rsidRPr="00760EBF">
        <w:rPr>
          <w:rStyle w:val="EndnoteReference"/>
          <w:shd w:val="clear" w:color="auto" w:fill="FFFFFF"/>
        </w:rPr>
        <w:t xml:space="preserve"> </w:t>
      </w:r>
      <w:r>
        <w:rPr>
          <w:rStyle w:val="EndnoteReference"/>
          <w:shd w:val="clear" w:color="auto" w:fill="FFFFFF"/>
        </w:rPr>
        <w:endnoteReference w:id="26"/>
      </w:r>
      <w:bookmarkStart w:id="65" w:name="_Ref124241280"/>
    </w:p>
    <w:p w14:paraId="7D921389" w14:textId="77777777" w:rsidR="00804DDC" w:rsidRDefault="00804DDC" w:rsidP="009B2118">
      <w:r>
        <w:t>First Nations community-controlled organisations may be reluctant to deliver NDIS services. Individualised funding packages can provide uncertain funding for community-controlled organisations, limiting their ability to build trust within the communities they are supporting. This uncertain can also limit their ability to invest in longer term staffing contracts.</w:t>
      </w:r>
    </w:p>
    <w:p w14:paraId="68045A4A" w14:textId="66F25303" w:rsidR="00804DDC" w:rsidRPr="008A6FEA" w:rsidRDefault="00804DDC" w:rsidP="009B2118">
      <w:pPr>
        <w:pStyle w:val="Figure"/>
        <w:rPr>
          <w:b/>
        </w:rPr>
      </w:pPr>
      <w:bookmarkStart w:id="66" w:name="fig8"/>
      <w:bookmarkEnd w:id="65"/>
      <w:r>
        <w:t>As at</w:t>
      </w:r>
      <w:r w:rsidRPr="008D32F6">
        <w:t xml:space="preserve"> December 2022,</w:t>
      </w:r>
      <w:r>
        <w:t xml:space="preserve"> </w:t>
      </w:r>
      <w:r w:rsidRPr="0074299E">
        <w:t xml:space="preserve">a small number – including just </w:t>
      </w:r>
      <w:r>
        <w:t xml:space="preserve">40 members of the NACCHO </w:t>
      </w:r>
      <w:r w:rsidRPr="0074299E">
        <w:t xml:space="preserve">– are providing </w:t>
      </w:r>
      <w:r>
        <w:t>supports as registered</w:t>
      </w:r>
      <w:r w:rsidRPr="008D32F6">
        <w:t xml:space="preserve"> </w:t>
      </w:r>
      <w:r w:rsidRPr="0074299E">
        <w:t xml:space="preserve">NDIS </w:t>
      </w:r>
      <w:r w:rsidRPr="008D32F6">
        <w:t>providers</w:t>
      </w:r>
    </w:p>
    <w:bookmarkEnd w:id="66"/>
    <w:p w14:paraId="2EE2C653" w14:textId="3423BDC7" w:rsidR="00804DDC" w:rsidRDefault="00804DDC" w:rsidP="00D64D30">
      <w:r>
        <w:rPr>
          <w:noProof/>
          <w:lang w:eastAsia="en-AU"/>
        </w:rPr>
        <w:drawing>
          <wp:inline distT="0" distB="0" distL="0" distR="0" wp14:anchorId="5A345D26" wp14:editId="2D4AC432">
            <wp:extent cx="5581650" cy="2011035"/>
            <wp:effectExtent l="0" t="0" r="0" b="8890"/>
            <wp:docPr id="25" name="Picture 25" descr="Number of NACCHO members who are registered NDIS providers by state and territory: 11 are based in Western Australia; 7 in Northern Territory; 2 in South Australia; 8 in Queensland; 12 in New South Wales. Available data shows no NACCHO members based in Victoria, Tasmania or ACT, have delivered NDIS supports as registered providers. Other First Nations organisations or other NACCHO members, who are operating as unregistered providers, may be delivering NDIS supports in these areas and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C-Figure 8.png"/>
                    <pic:cNvPicPr/>
                  </pic:nvPicPr>
                  <pic:blipFill>
                    <a:blip r:embed="rId31">
                      <a:extLst>
                        <a:ext uri="{28A0092B-C50C-407E-A947-70E740481C1C}">
                          <a14:useLocalDpi xmlns:a14="http://schemas.microsoft.com/office/drawing/2010/main" val="0"/>
                        </a:ext>
                      </a:extLst>
                    </a:blip>
                    <a:stretch>
                      <a:fillRect/>
                    </a:stretch>
                  </pic:blipFill>
                  <pic:spPr>
                    <a:xfrm>
                      <a:off x="0" y="0"/>
                      <a:ext cx="5591573" cy="2014610"/>
                    </a:xfrm>
                    <a:prstGeom prst="rect">
                      <a:avLst/>
                    </a:prstGeom>
                  </pic:spPr>
                </pic:pic>
              </a:graphicData>
            </a:graphic>
          </wp:inline>
        </w:drawing>
      </w:r>
    </w:p>
    <w:p w14:paraId="55D12387" w14:textId="77777777" w:rsidR="00804DDC" w:rsidRPr="00A3485B" w:rsidRDefault="00804DDC" w:rsidP="00A3485B">
      <w:pPr>
        <w:pStyle w:val="00-Bodytable"/>
        <w:rPr>
          <w:i/>
        </w:rPr>
      </w:pPr>
      <w:r w:rsidRPr="00A3485B">
        <w:rPr>
          <w:i/>
        </w:rPr>
        <w:lastRenderedPageBreak/>
        <w:t xml:space="preserve">Note: Data only includes organisations who are members of the NACCHO, are registered NDIS providers, and have previously delivered and claimed supports against an NDIS participant’s plan as at 31 December 2022. </w:t>
      </w:r>
    </w:p>
    <w:p w14:paraId="5DC3B4CD" w14:textId="6B4681D8" w:rsidR="00EB7A34" w:rsidRPr="00A3485B" w:rsidRDefault="00804DDC" w:rsidP="00A3485B">
      <w:pPr>
        <w:pStyle w:val="00-Bodytable"/>
        <w:rPr>
          <w:i/>
        </w:rPr>
      </w:pPr>
      <w:r w:rsidRPr="00A3485B">
        <w:rPr>
          <w:i/>
        </w:rPr>
        <w:t>Source: NDIA data, December 2022 (unpublished)</w:t>
      </w:r>
      <w:r w:rsidRPr="00A3485B">
        <w:rPr>
          <w:rStyle w:val="EndnoteReference"/>
          <w:i/>
        </w:rPr>
        <w:endnoteReference w:id="27"/>
      </w:r>
      <w:r w:rsidRPr="00A3485B">
        <w:rPr>
          <w:i/>
        </w:rPr>
        <w:t xml:space="preserve"> </w:t>
      </w:r>
    </w:p>
    <w:p w14:paraId="461C38EB" w14:textId="77777777" w:rsidR="00804DDC" w:rsidRPr="006B1323" w:rsidRDefault="00804DDC" w:rsidP="00A3485B">
      <w:r>
        <w:t>The capacity of First Nations communities – which include First Nations people with disability, their family and kin, community, and provider organisations – to drive and develop culturally appropriate care and supports is also being hindered in the current approach (</w:t>
      </w:r>
      <w:r>
        <w:fldChar w:fldCharType="begin"/>
      </w:r>
      <w:r>
        <w:instrText xml:space="preserve"> REF _Ref125127268 \h </w:instrText>
      </w:r>
      <w:r>
        <w:fldChar w:fldCharType="separate"/>
      </w:r>
      <w:r>
        <w:t xml:space="preserve">Figure </w:t>
      </w:r>
      <w:r>
        <w:rPr>
          <w:noProof/>
        </w:rPr>
        <w:t>9</w:t>
      </w:r>
      <w:r>
        <w:fldChar w:fldCharType="end"/>
      </w:r>
      <w:r>
        <w:t xml:space="preserve">). </w:t>
      </w:r>
    </w:p>
    <w:p w14:paraId="43C062D7" w14:textId="0275B727" w:rsidR="00804DDC" w:rsidRDefault="00804DDC" w:rsidP="00A3485B">
      <w:pPr>
        <w:pStyle w:val="Figure"/>
      </w:pPr>
      <w:r w:rsidRPr="00400980">
        <w:t>Market-based model with individualise</w:t>
      </w:r>
      <w:r>
        <w:t>d</w:t>
      </w:r>
      <w:r w:rsidRPr="00400980">
        <w:t xml:space="preserve"> funding </w:t>
      </w:r>
      <w:r>
        <w:t xml:space="preserve">arrangements </w:t>
      </w:r>
      <w:r w:rsidRPr="00400980">
        <w:t>works against First Nations community-led decision-</w:t>
      </w:r>
      <w:r w:rsidRPr="00EB5A79">
        <w:t>making and initiatives</w:t>
      </w:r>
      <w:r>
        <w:rPr>
          <w:rStyle w:val="EndnoteReference"/>
        </w:rPr>
        <w:endnoteReference w:id="28"/>
      </w:r>
    </w:p>
    <w:p w14:paraId="7900109B" w14:textId="6067D890" w:rsidR="00804DDC" w:rsidRDefault="00804DDC" w:rsidP="00A3485B">
      <w:r>
        <w:rPr>
          <w:noProof/>
          <w:lang w:eastAsia="en-AU"/>
        </w:rPr>
        <w:drawing>
          <wp:inline distT="0" distB="0" distL="0" distR="0" wp14:anchorId="7770836D" wp14:editId="51D38BFE">
            <wp:extent cx="6120130" cy="2113915"/>
            <wp:effectExtent l="0" t="0" r="0" b="635"/>
            <wp:docPr id="37" name="Picture 37" descr="Two speech bubbles: First quote states individualised funding can work against Aboriginal concepts of holistic health for the community. Second quote is from the Closing the Gap Disability Sector Strengthening Plan which outlines that the NDIS funding model does not allow for community relationship building and storytelling to ensure informed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C-Figure 9.png"/>
                    <pic:cNvPicPr/>
                  </pic:nvPicPr>
                  <pic:blipFill>
                    <a:blip r:embed="rId32">
                      <a:extLst>
                        <a:ext uri="{28A0092B-C50C-407E-A947-70E740481C1C}">
                          <a14:useLocalDpi xmlns:a14="http://schemas.microsoft.com/office/drawing/2010/main" val="0"/>
                        </a:ext>
                      </a:extLst>
                    </a:blip>
                    <a:stretch>
                      <a:fillRect/>
                    </a:stretch>
                  </pic:blipFill>
                  <pic:spPr>
                    <a:xfrm>
                      <a:off x="0" y="0"/>
                      <a:ext cx="6120130" cy="2113915"/>
                    </a:xfrm>
                    <a:prstGeom prst="rect">
                      <a:avLst/>
                    </a:prstGeom>
                  </pic:spPr>
                </pic:pic>
              </a:graphicData>
            </a:graphic>
          </wp:inline>
        </w:drawing>
      </w:r>
    </w:p>
    <w:p w14:paraId="09D83D7C" w14:textId="77777777" w:rsidR="00804DDC" w:rsidRDefault="00804DDC" w:rsidP="00A3485B">
      <w:r w:rsidRPr="00D84A62">
        <w:t>A number of ongoing initiatives</w:t>
      </w:r>
      <w:r>
        <w:t xml:space="preserve"> are aimed at ensuring the NDIS is</w:t>
      </w:r>
      <w:r w:rsidRPr="00D84A62">
        <w:t xml:space="preserve"> more culturally safe and responsive for First Nations people to access and navigate the NDIS</w:t>
      </w:r>
      <w:r>
        <w:t xml:space="preserve"> (Box 2)</w:t>
      </w:r>
      <w:r w:rsidRPr="00EC5FF2">
        <w:rPr>
          <w:color w:val="161616" w:themeColor="accent4" w:themeShade="1A"/>
        </w:rPr>
        <w:t>.</w:t>
      </w:r>
    </w:p>
    <w:p w14:paraId="47BB610A" w14:textId="77777777" w:rsidR="00804DDC" w:rsidRDefault="00804DDC" w:rsidP="00A3485B">
      <w:r>
        <w:t>Building the cultural competency of existing NDIS providers will go some way to strengthening the responsiveness, quality, and range of services delivered to First Nations people with disability</w:t>
      </w:r>
      <w:r>
        <w:rPr>
          <w:rStyle w:val="EndnoteReference"/>
        </w:rPr>
        <w:endnoteReference w:id="29"/>
      </w:r>
      <w:r>
        <w:t>.</w:t>
      </w:r>
    </w:p>
    <w:p w14:paraId="7A868FCD" w14:textId="77777777" w:rsidR="00804DDC" w:rsidRDefault="00804DDC" w:rsidP="00A3485B">
      <w:r>
        <w:t xml:space="preserve">Priority should be to strengthen the community-controlled disability sector. Building the First Nations community-controlled sectors is one of four Priority Reform areas under the </w:t>
      </w:r>
      <w:r w:rsidRPr="00D7305E">
        <w:rPr>
          <w:i/>
        </w:rPr>
        <w:t xml:space="preserve">2019 </w:t>
      </w:r>
      <w:r w:rsidRPr="00472E54">
        <w:rPr>
          <w:i/>
        </w:rPr>
        <w:t>National Agreement on Closing the Gap</w:t>
      </w:r>
      <w:r>
        <w:rPr>
          <w:i/>
        </w:rPr>
        <w:t xml:space="preserve"> </w:t>
      </w:r>
      <w:r>
        <w:t>(the Closing the Gap National Agreement). The disability sector is one of four initial sectors identified for joint national strengthening effort.</w:t>
      </w:r>
    </w:p>
    <w:p w14:paraId="17479D24" w14:textId="77777777" w:rsidR="00804DDC" w:rsidRDefault="00804DDC" w:rsidP="00A3485B">
      <w:r>
        <w:t xml:space="preserve">As part of this, the </w:t>
      </w:r>
      <w:r w:rsidRPr="005D256A">
        <w:rPr>
          <w:i/>
        </w:rPr>
        <w:t xml:space="preserve">2022 </w:t>
      </w:r>
      <w:r w:rsidRPr="005276A5">
        <w:rPr>
          <w:i/>
        </w:rPr>
        <w:t>Disability Sector Strengthening Plan</w:t>
      </w:r>
      <w:r>
        <w:rPr>
          <w:i/>
        </w:rPr>
        <w:t xml:space="preserve"> (</w:t>
      </w:r>
      <w:r w:rsidRPr="00D428CD">
        <w:t>DSSP</w:t>
      </w:r>
      <w:r>
        <w:rPr>
          <w:i/>
        </w:rPr>
        <w:t>)</w:t>
      </w:r>
      <w:r>
        <w:t xml:space="preserve"> outlines six key areas for action to b</w:t>
      </w:r>
      <w:r w:rsidRPr="00D7305E">
        <w:t>uild the capacity of existing and new community-controlled disability services to deliver a full range of culturally safe and inclusive services</w:t>
      </w:r>
      <w:r>
        <w:t>. Key actions include localised community-led strategies, joined up service delivery and strengthening a dedicated First Nations disability workforce that embeds a cultural model of inclusion.</w:t>
      </w:r>
    </w:p>
    <w:p w14:paraId="316436AF" w14:textId="77777777" w:rsidR="00804DDC" w:rsidRDefault="00804DDC" w:rsidP="00A3485B">
      <w:r>
        <w:t xml:space="preserve">Investment in strengthening </w:t>
      </w:r>
      <w:r w:rsidRPr="00D7305E">
        <w:t>community-controlled disability services</w:t>
      </w:r>
      <w:r>
        <w:t xml:space="preserve"> for all First Nations people with disability is also a priority for First Nations disability sector stakeholders. </w:t>
      </w:r>
    </w:p>
    <w:p w14:paraId="6C92B1C9" w14:textId="77777777" w:rsidR="00804DDC" w:rsidRDefault="00804DDC" w:rsidP="00A3485B">
      <w:r>
        <w:lastRenderedPageBreak/>
        <w:t>First Peoples with Disability Network’s “National Disability Footprint” and “Ten priorities to address disability inequity” are both underpinned by building the capacity of First Nations’ community-controlled organisations and growing the First Nations disability workforce.</w:t>
      </w:r>
    </w:p>
    <w:p w14:paraId="0CBD58CE" w14:textId="1A832576" w:rsidR="00804DDC" w:rsidRPr="00FE2C7F" w:rsidRDefault="00804DDC" w:rsidP="00033257">
      <w:pPr>
        <w:pStyle w:val="B2-Heading3"/>
      </w:pPr>
      <w:r w:rsidRPr="00033257">
        <w:t>Box 2</w:t>
      </w:r>
      <w:r w:rsidR="00033257">
        <w:t xml:space="preserve"> </w:t>
      </w:r>
      <w:r w:rsidRPr="00033257">
        <w:rPr>
          <w:b/>
          <w:i w:val="0"/>
        </w:rPr>
        <w:t>Initiatives to improve First Nations participant experience</w:t>
      </w:r>
    </w:p>
    <w:p w14:paraId="570483E7" w14:textId="77777777" w:rsidR="00804DDC" w:rsidRDefault="00804DDC" w:rsidP="00A3485B">
      <w:pPr>
        <w:pStyle w:val="B2-Body"/>
      </w:pPr>
      <w:r>
        <w:t>The NDIA</w:t>
      </w:r>
      <w:r w:rsidRPr="00E34163">
        <w:t xml:space="preserve"> is currently </w:t>
      </w:r>
      <w:r w:rsidRPr="00A3485B">
        <w:rPr>
          <w:b/>
        </w:rPr>
        <w:t>building cultural competency of NDIA staff and NDIA Partners</w:t>
      </w:r>
      <w:r w:rsidRPr="003A2E89">
        <w:t xml:space="preserve"> </w:t>
      </w:r>
      <w:r w:rsidRPr="004754AA">
        <w:t xml:space="preserve">through </w:t>
      </w:r>
      <w:r w:rsidRPr="00A3485B">
        <w:rPr>
          <w:b/>
        </w:rPr>
        <w:t>cultural awareness training</w:t>
      </w:r>
      <w:r w:rsidRPr="003618C4">
        <w:t>.</w:t>
      </w:r>
      <w:r>
        <w:t xml:space="preserve"> They are also</w:t>
      </w:r>
      <w:r w:rsidRPr="004754AA">
        <w:t xml:space="preserve"> embedding dedicated</w:t>
      </w:r>
      <w:r w:rsidRPr="003A2E89">
        <w:t xml:space="preserve"> </w:t>
      </w:r>
      <w:r w:rsidRPr="00A3485B">
        <w:rPr>
          <w:b/>
        </w:rPr>
        <w:t>Aboriginal Disability Liaison Officers</w:t>
      </w:r>
      <w:r w:rsidRPr="003A2E89">
        <w:t xml:space="preserve"> </w:t>
      </w:r>
      <w:r w:rsidRPr="004754AA">
        <w:t xml:space="preserve">to support NDIA Partners deliver </w:t>
      </w:r>
      <w:r w:rsidRPr="00A3485B">
        <w:rPr>
          <w:b/>
        </w:rPr>
        <w:t>a more culturally inclusive and responsive participant experience</w:t>
      </w:r>
      <w:r>
        <w:t>.</w:t>
      </w:r>
    </w:p>
    <w:p w14:paraId="63452BCA" w14:textId="77777777" w:rsidR="00804DDC" w:rsidRDefault="00804DDC" w:rsidP="00A3485B">
      <w:pPr>
        <w:pStyle w:val="B2-Body"/>
      </w:pPr>
      <w:r>
        <w:t>Across some remote areas, NDIA has also rolled out the following elements based on each community’s needs and attributes</w:t>
      </w:r>
      <w:r>
        <w:rPr>
          <w:rStyle w:val="EndnoteReference"/>
        </w:rPr>
        <w:endnoteReference w:id="30"/>
      </w:r>
      <w:r>
        <w:t>:</w:t>
      </w:r>
    </w:p>
    <w:p w14:paraId="6FADD812" w14:textId="77777777" w:rsidR="00804DDC" w:rsidRDefault="00804DDC" w:rsidP="00A3485B">
      <w:pPr>
        <w:pStyle w:val="B2-Listbullets"/>
      </w:pPr>
      <w:r w:rsidRPr="00542B7C">
        <w:rPr>
          <w:i/>
        </w:rPr>
        <w:t>Remote Community Connector</w:t>
      </w:r>
      <w:r>
        <w:rPr>
          <w:i/>
        </w:rPr>
        <w:t>s (RCC)</w:t>
      </w:r>
      <w:r w:rsidRPr="00E34163">
        <w:t xml:space="preserve"> </w:t>
      </w:r>
      <w:r>
        <w:t xml:space="preserve">provide culturally appropriate and locally based support </w:t>
      </w:r>
      <w:r w:rsidRPr="00E34163">
        <w:t xml:space="preserve">in remote </w:t>
      </w:r>
      <w:r>
        <w:t>areas</w:t>
      </w:r>
      <w:r w:rsidRPr="00E34163">
        <w:t xml:space="preserve">, with a focus on </w:t>
      </w:r>
      <w:r>
        <w:t xml:space="preserve">improving </w:t>
      </w:r>
      <w:r w:rsidRPr="00E34163">
        <w:t>First Nations people</w:t>
      </w:r>
      <w:r>
        <w:t>s’ awareness and understanding of the NDIS</w:t>
      </w:r>
      <w:r w:rsidRPr="00E34163">
        <w:t>.</w:t>
      </w:r>
    </w:p>
    <w:p w14:paraId="7B4715C2" w14:textId="77777777" w:rsidR="00804DDC" w:rsidRPr="004754AA" w:rsidRDefault="00804DDC" w:rsidP="00A3485B">
      <w:pPr>
        <w:pStyle w:val="B2-Listbullets"/>
      </w:pPr>
      <w:r w:rsidRPr="00330CE0">
        <w:rPr>
          <w:i/>
        </w:rPr>
        <w:t>Evidence, Access and Coordination of Planning Program</w:t>
      </w:r>
      <w:r>
        <w:rPr>
          <w:i/>
        </w:rPr>
        <w:t xml:space="preserve"> (EACP)</w:t>
      </w:r>
      <w:r>
        <w:t xml:space="preserve"> help</w:t>
      </w:r>
      <w:r w:rsidRPr="00E34163">
        <w:t xml:space="preserve"> people</w:t>
      </w:r>
      <w:r>
        <w:t xml:space="preserve"> with disability and developmental delay in remote communities to test their eligibility to access the NDIS and navigate the access process.</w:t>
      </w:r>
      <w:r w:rsidRPr="00E34163">
        <w:t xml:space="preserve"> </w:t>
      </w:r>
      <w:r w:rsidRPr="00AE6E93">
        <w:t>This includes helping people with gathering evidence from mainstream se</w:t>
      </w:r>
      <w:r>
        <w:t>rvices when applying to access</w:t>
      </w:r>
      <w:r w:rsidRPr="00AE6E93">
        <w:t xml:space="preserve"> the NDIS.</w:t>
      </w:r>
    </w:p>
    <w:p w14:paraId="711AB0FB" w14:textId="77777777" w:rsidR="00804DDC" w:rsidRDefault="00804DDC" w:rsidP="00A3485B">
      <w:pPr>
        <w:pStyle w:val="B2-Listbullets"/>
      </w:pPr>
      <w:r>
        <w:rPr>
          <w:i/>
        </w:rPr>
        <w:t>Remote Early Childhood Services (RECS)</w:t>
      </w:r>
      <w:r>
        <w:t xml:space="preserve"> help children aged under 7 access early supports and services. This is currently a pilot program in Western Australia.</w:t>
      </w:r>
    </w:p>
    <w:p w14:paraId="2804709D" w14:textId="77777777" w:rsidR="00804DDC" w:rsidRPr="00E34163" w:rsidDel="002C78E8" w:rsidRDefault="00804DDC" w:rsidP="00A3485B">
      <w:pPr>
        <w:pStyle w:val="B2-Listbullets"/>
      </w:pPr>
      <w:r w:rsidRPr="00542B7C">
        <w:rPr>
          <w:i/>
        </w:rPr>
        <w:t>First Nations cultural brokers</w:t>
      </w:r>
      <w:r w:rsidRPr="00E34163">
        <w:t xml:space="preserve"> have also been engaged in a limited number of locations to act as a conduit between NDIA and remote </w:t>
      </w:r>
      <w:r>
        <w:t xml:space="preserve">First Nations </w:t>
      </w:r>
      <w:r w:rsidRPr="00E34163">
        <w:t>communities.</w:t>
      </w:r>
    </w:p>
    <w:p w14:paraId="4D61125F" w14:textId="77777777" w:rsidR="00804DDC" w:rsidRDefault="00804DDC" w:rsidP="00A3485B">
      <w:pPr>
        <w:pStyle w:val="B2-Body"/>
      </w:pPr>
      <w:r w:rsidRPr="002F5BC8">
        <w:t>K</w:t>
      </w:r>
      <w:r>
        <w:t xml:space="preserve">imberley </w:t>
      </w:r>
      <w:r w:rsidRPr="002F5BC8">
        <w:t>A</w:t>
      </w:r>
      <w:r>
        <w:t xml:space="preserve">boriginal </w:t>
      </w:r>
      <w:r w:rsidRPr="002F5BC8">
        <w:t>M</w:t>
      </w:r>
      <w:r>
        <w:t xml:space="preserve">edical </w:t>
      </w:r>
      <w:r w:rsidRPr="002F5BC8">
        <w:t>S</w:t>
      </w:r>
      <w:r>
        <w:t>ervices (KAMS) and its consortium members</w:t>
      </w:r>
      <w:r w:rsidRPr="002F5BC8">
        <w:t xml:space="preserve"> have been influential in the design, development, and implementation of the RECS program across WA, including the Kimberley. This includes how this program intersects and complements the RCC and EACP programs</w:t>
      </w:r>
      <w:r w:rsidRPr="00AE6E93">
        <w:t xml:space="preserve">. </w:t>
      </w:r>
    </w:p>
    <w:p w14:paraId="200AB076" w14:textId="77777777" w:rsidR="00804DDC" w:rsidRDefault="00804DDC" w:rsidP="00A3485B">
      <w:pPr>
        <w:pStyle w:val="B2-Body"/>
      </w:pPr>
      <w:r>
        <w:t xml:space="preserve">During the Disability Reform Ministers meeting in October 2022, KAMS </w:t>
      </w:r>
      <w:r w:rsidRPr="00AE6E93">
        <w:t>discussed</w:t>
      </w:r>
      <w:r>
        <w:t xml:space="preserve"> and proposed the opportunity</w:t>
      </w:r>
      <w:r w:rsidRPr="00AE6E93">
        <w:t xml:space="preserve"> </w:t>
      </w:r>
      <w:r>
        <w:t xml:space="preserve">to roll </w:t>
      </w:r>
      <w:r w:rsidRPr="00AE6E93">
        <w:t>out the Kimberley model to additional regional and urban areas across Australia</w:t>
      </w:r>
      <w:r>
        <w:t>.</w:t>
      </w:r>
      <w:r w:rsidRPr="008C0776">
        <w:rPr>
          <w:rStyle w:val="EndnoteReference"/>
        </w:rPr>
        <w:t xml:space="preserve"> </w:t>
      </w:r>
      <w:r>
        <w:rPr>
          <w:rStyle w:val="EndnoteReference"/>
        </w:rPr>
        <w:endnoteReference w:id="31"/>
      </w:r>
    </w:p>
    <w:p w14:paraId="55207290" w14:textId="77777777" w:rsidR="00804DDC" w:rsidRDefault="00804DDC" w:rsidP="00A3485B">
      <w:pPr>
        <w:pStyle w:val="B2-Body"/>
      </w:pPr>
      <w:r>
        <w:t>Throughout 2023, the NDIA will also be co-designing a new First Nations Strategy and action plan to improve the experience and outcomes for First Nations people with disability. This will be done in formal partnership with the First Peoples Disability Network (FPDN) and guided by the</w:t>
      </w:r>
      <w:r w:rsidRPr="00347639">
        <w:t xml:space="preserve"> First Nations Advisory Council (FNAC</w:t>
      </w:r>
      <w:r>
        <w:t>).</w:t>
      </w:r>
      <w:r w:rsidRPr="00347639">
        <w:t xml:space="preserve"> </w:t>
      </w:r>
    </w:p>
    <w:p w14:paraId="58D7D407" w14:textId="77777777" w:rsidR="00804DDC" w:rsidRDefault="00804DDC" w:rsidP="00A3485B">
      <w:pPr>
        <w:pStyle w:val="B2-Body"/>
        <w:rPr>
          <w:rStyle w:val="CommentReference"/>
        </w:rPr>
      </w:pPr>
      <w:r>
        <w:t xml:space="preserve">The NDIS Commission has also funded some grants to remove barriers for Aboriginal Community Controlled Organisations (ACCOs) and </w:t>
      </w:r>
      <w:r>
        <w:rPr>
          <w:rStyle w:val="ui-provider"/>
        </w:rPr>
        <w:t>enhance provider capability to deliver services to First Nations Australians living in rural and remote communities</w:t>
      </w:r>
      <w:r>
        <w:rPr>
          <w:rStyle w:val="CommentReference"/>
        </w:rPr>
        <w:t>.</w:t>
      </w:r>
    </w:p>
    <w:p w14:paraId="6AEE08F3" w14:textId="77777777" w:rsidR="00804DDC" w:rsidRPr="00E77F63" w:rsidRDefault="00804DDC" w:rsidP="00A3485B">
      <w:pPr>
        <w:pStyle w:val="B2-Body"/>
      </w:pPr>
      <w:r w:rsidRPr="00E77F63">
        <w:t xml:space="preserve">Under the </w:t>
      </w:r>
      <w:r>
        <w:t>DSSP</w:t>
      </w:r>
      <w:r w:rsidRPr="00E77F63">
        <w:t xml:space="preserve">, FPDN and Western Sydney University are currently developing a </w:t>
      </w:r>
      <w:r w:rsidRPr="00E77F63">
        <w:rPr>
          <w:i/>
        </w:rPr>
        <w:t>Cultural Model of Inclusion Framework</w:t>
      </w:r>
      <w:r w:rsidRPr="00E77F63">
        <w:t xml:space="preserve"> and </w:t>
      </w:r>
      <w:r w:rsidRPr="00E77F63">
        <w:rPr>
          <w:i/>
        </w:rPr>
        <w:t>Organisational Assessment Tool</w:t>
      </w:r>
      <w:r w:rsidRPr="00E77F63">
        <w:t xml:space="preserve">. This framework and assessment tool aim to improve the quality of NDIS services to be culturally safe, inclusive and disability rights informed. </w:t>
      </w:r>
    </w:p>
    <w:p w14:paraId="095B60A3" w14:textId="77777777" w:rsidR="00804DDC" w:rsidRDefault="00804DDC" w:rsidP="00A3485B">
      <w:r>
        <w:t xml:space="preserve">Using alternative commissioning approaches, First Nations communities could commission community-controlled organisations to ensure the availability of disability supports that are responsive to their needs, particularly where the market has failed to respond. </w:t>
      </w:r>
    </w:p>
    <w:p w14:paraId="1196F1B5" w14:textId="77777777" w:rsidR="00804DDC" w:rsidRDefault="00804DDC" w:rsidP="00A3485B">
      <w:r>
        <w:lastRenderedPageBreak/>
        <w:t>In this way, community-driven alternative commissioning approaches can be a powerful tool to deliver culturally appropriate supports across metropolitan, rural and remote Australia.</w:t>
      </w:r>
    </w:p>
    <w:p w14:paraId="66C371D6" w14:textId="77777777" w:rsidR="00804DDC" w:rsidRDefault="00804DDC" w:rsidP="00A3485B">
      <w:pPr>
        <w:pStyle w:val="Heading3"/>
      </w:pPr>
      <w:bookmarkStart w:id="67" w:name="_Toc123744770"/>
      <w:bookmarkStart w:id="68" w:name="_Toc123825824"/>
      <w:bookmarkStart w:id="69" w:name="_Toc123831281"/>
      <w:bookmarkStart w:id="70" w:name="_Toc123923517"/>
      <w:bookmarkStart w:id="71" w:name="_Toc123924178"/>
      <w:bookmarkStart w:id="72" w:name="_Toc123924423"/>
      <w:bookmarkStart w:id="73" w:name="_Toc123926018"/>
      <w:bookmarkStart w:id="74" w:name="_Toc124362730"/>
      <w:bookmarkStart w:id="75" w:name="_Toc124412359"/>
      <w:bookmarkStart w:id="76" w:name="_Toc124424845"/>
      <w:bookmarkStart w:id="77" w:name="_Toc124445174"/>
      <w:bookmarkStart w:id="78" w:name="_Toc124456002"/>
      <w:bookmarkEnd w:id="67"/>
      <w:r>
        <w:t xml:space="preserve">Place-based and community-driven alternative commissioning approaches can generate more responsive and sustainable supply in remote </w:t>
      </w:r>
      <w:bookmarkEnd w:id="68"/>
      <w:bookmarkEnd w:id="69"/>
      <w:bookmarkEnd w:id="70"/>
      <w:bookmarkEnd w:id="71"/>
      <w:bookmarkEnd w:id="72"/>
      <w:bookmarkEnd w:id="73"/>
      <w:bookmarkEnd w:id="74"/>
      <w:bookmarkEnd w:id="75"/>
      <w:bookmarkEnd w:id="76"/>
      <w:bookmarkEnd w:id="77"/>
      <w:bookmarkEnd w:id="78"/>
      <w:r>
        <w:t>areas</w:t>
      </w:r>
    </w:p>
    <w:p w14:paraId="72F30AB6" w14:textId="77777777" w:rsidR="00804DDC" w:rsidRDefault="00804DDC" w:rsidP="00A3485B">
      <w:r>
        <w:t>Challenges in delivering services to remote areas are well-known. These are not unique to the NDIS, but they are amplified by the current market-based model with individualised funding arrangements.</w:t>
      </w:r>
    </w:p>
    <w:p w14:paraId="70EEDE80" w14:textId="77777777" w:rsidR="00804DDC" w:rsidRDefault="00804DDC" w:rsidP="00A3485B">
      <w:pPr>
        <w:pStyle w:val="Listbullets-Level1"/>
      </w:pPr>
      <w:r w:rsidRPr="00205F3C">
        <w:rPr>
          <w:b/>
        </w:rPr>
        <w:t>Demand is often low, geographically dispersed and fragmented</w:t>
      </w:r>
      <w:r>
        <w:t xml:space="preserve"> across government and non-government systems in remote areas</w:t>
      </w:r>
      <w:r>
        <w:rPr>
          <w:rStyle w:val="EndnoteReference"/>
        </w:rPr>
        <w:endnoteReference w:id="32"/>
      </w:r>
      <w:r>
        <w:t>.</w:t>
      </w:r>
    </w:p>
    <w:p w14:paraId="16DAD468" w14:textId="77777777" w:rsidR="00804DDC" w:rsidRDefault="00804DDC" w:rsidP="00A3485B">
      <w:pPr>
        <w:pStyle w:val="Listbullets-Level1"/>
      </w:pPr>
      <w:r w:rsidRPr="00186EAC">
        <w:rPr>
          <w:b/>
        </w:rPr>
        <w:t>Individualised funding arrangements further fragments</w:t>
      </w:r>
      <w:r>
        <w:t xml:space="preserve"> an already low, dispersed demand for services. They also </w:t>
      </w:r>
      <w:r w:rsidRPr="00186EAC">
        <w:rPr>
          <w:b/>
        </w:rPr>
        <w:t>increase demand risk</w:t>
      </w:r>
      <w:r>
        <w:t xml:space="preserve"> – where actual demand for services is lower than the forecasted demand – since service providers are more exposed to changes in demand when a participant’s NDIS funding is reassessed</w:t>
      </w:r>
      <w:r>
        <w:rPr>
          <w:rStyle w:val="EndnoteReference"/>
        </w:rPr>
        <w:endnoteReference w:id="33"/>
      </w:r>
      <w:r>
        <w:t>.</w:t>
      </w:r>
    </w:p>
    <w:p w14:paraId="64134FA7" w14:textId="77777777" w:rsidR="00804DDC" w:rsidRDefault="00804DDC" w:rsidP="00A3485B">
      <w:pPr>
        <w:pStyle w:val="Listbullets-Level1"/>
      </w:pPr>
      <w:r w:rsidRPr="00205F3C">
        <w:rPr>
          <w:b/>
        </w:rPr>
        <w:t>Service delivery costs are inherently higher</w:t>
      </w:r>
      <w:r>
        <w:t xml:space="preserve"> in remote and very remote Australia</w:t>
      </w:r>
      <w:r>
        <w:rPr>
          <w:rStyle w:val="EndnoteReference"/>
        </w:rPr>
        <w:endnoteReference w:id="34"/>
      </w:r>
      <w:r>
        <w:t>. These costs – such as investment for capital infrastructure and travel for fly-in, fly-out (FIFO) and drive-in, drive-out (DIDO) arrangements – particularly impact providers’ financial viability since, under a market-based approach, these costs are often not shared across service providers</w:t>
      </w:r>
      <w:r>
        <w:rPr>
          <w:rStyle w:val="EndnoteReference"/>
        </w:rPr>
        <w:endnoteReference w:id="35"/>
      </w:r>
      <w:r>
        <w:t>.</w:t>
      </w:r>
    </w:p>
    <w:p w14:paraId="53E3AA82" w14:textId="77777777" w:rsidR="00804DDC" w:rsidRDefault="00804DDC" w:rsidP="00A3485B">
      <w:pPr>
        <w:pStyle w:val="Listbullets-Level1"/>
      </w:pPr>
      <w:r>
        <w:t xml:space="preserve">Service providers also face </w:t>
      </w:r>
      <w:r w:rsidRPr="00205F3C">
        <w:rPr>
          <w:b/>
        </w:rPr>
        <w:t xml:space="preserve">more pronounced logistical </w:t>
      </w:r>
      <w:r>
        <w:rPr>
          <w:b/>
        </w:rPr>
        <w:t>difficulties</w:t>
      </w:r>
      <w:r w:rsidRPr="00205F3C">
        <w:rPr>
          <w:b/>
        </w:rPr>
        <w:t xml:space="preserve"> and more acute workforce challenges</w:t>
      </w:r>
      <w:r>
        <w:t xml:space="preserve"> in delivering services to remote and very remote Australia</w:t>
      </w:r>
      <w:r>
        <w:rPr>
          <w:rStyle w:val="EndnoteReference"/>
        </w:rPr>
        <w:endnoteReference w:id="36"/>
      </w:r>
      <w:r>
        <w:t xml:space="preserve">. </w:t>
      </w:r>
    </w:p>
    <w:p w14:paraId="60112C32" w14:textId="77777777" w:rsidR="00804DDC" w:rsidRDefault="00804DDC" w:rsidP="00A3485B">
      <w:pPr>
        <w:pStyle w:val="Listbullets-Level1"/>
      </w:pPr>
      <w:r>
        <w:t xml:space="preserve">Prospective local providers are reluctant to register as NDIS providers due to the </w:t>
      </w:r>
      <w:r w:rsidRPr="00205F3C">
        <w:rPr>
          <w:b/>
        </w:rPr>
        <w:t>regulatory impost</w:t>
      </w:r>
      <w:r>
        <w:rPr>
          <w:b/>
        </w:rPr>
        <w:t xml:space="preserve"> and cost</w:t>
      </w:r>
      <w:r w:rsidRPr="0030027F">
        <w:rPr>
          <w:rStyle w:val="EndnoteReference"/>
        </w:rPr>
        <w:endnoteReference w:id="37"/>
      </w:r>
      <w:r>
        <w:t xml:space="preserve">. Existing First Nations community-controlled organisations are also reluctant to deliver NDIS services due to the </w:t>
      </w:r>
      <w:r w:rsidRPr="00205F3C">
        <w:rPr>
          <w:b/>
        </w:rPr>
        <w:t>financial</w:t>
      </w:r>
      <w:r>
        <w:rPr>
          <w:b/>
        </w:rPr>
        <w:t xml:space="preserve"> risks involved</w:t>
      </w:r>
      <w:r w:rsidRPr="00205F3C">
        <w:rPr>
          <w:b/>
        </w:rPr>
        <w:t xml:space="preserve"> and </w:t>
      </w:r>
      <w:r>
        <w:rPr>
          <w:b/>
        </w:rPr>
        <w:t xml:space="preserve">potential </w:t>
      </w:r>
      <w:r w:rsidRPr="00205F3C">
        <w:rPr>
          <w:b/>
        </w:rPr>
        <w:t>reputational risk</w:t>
      </w:r>
      <w:r>
        <w:t xml:space="preserve"> with the broader community</w:t>
      </w:r>
      <w:r>
        <w:rPr>
          <w:rStyle w:val="EndnoteReference"/>
        </w:rPr>
        <w:endnoteReference w:id="38"/>
      </w:r>
      <w:r>
        <w:t>.</w:t>
      </w:r>
    </w:p>
    <w:p w14:paraId="0DD95462" w14:textId="77777777" w:rsidR="00804DDC" w:rsidRDefault="00804DDC" w:rsidP="00A3485B">
      <w:r>
        <w:t xml:space="preserve">No one-size-fits-all approach to delivering NDIS supports will work for remote communities. </w:t>
      </w:r>
    </w:p>
    <w:p w14:paraId="6586DB63" w14:textId="77777777" w:rsidR="00804DDC" w:rsidRDefault="00804DDC" w:rsidP="00A3485B">
      <w:r>
        <w:t>Each remote community has unique geographical considerations, demographic compositions and cultural contexts (</w:t>
      </w:r>
      <w:r>
        <w:fldChar w:fldCharType="begin"/>
      </w:r>
      <w:r>
        <w:instrText xml:space="preserve"> REF _Ref124354175 \h </w:instrText>
      </w:r>
      <w:r>
        <w:fldChar w:fldCharType="separate"/>
      </w:r>
      <w:r>
        <w:t xml:space="preserve">Figure </w:t>
      </w:r>
      <w:r>
        <w:rPr>
          <w:noProof/>
        </w:rPr>
        <w:t>10</w:t>
      </w:r>
      <w:r>
        <w:fldChar w:fldCharType="end"/>
      </w:r>
      <w:r>
        <w:t xml:space="preserve">). For First Nations communities, connection to land, community, culture and kin also cannot be underestimated, particularly in remote Australia. </w:t>
      </w:r>
    </w:p>
    <w:p w14:paraId="019B501E" w14:textId="77777777" w:rsidR="00804DDC" w:rsidRDefault="00804DDC" w:rsidP="00A3485B">
      <w:pPr>
        <w:pStyle w:val="Quote"/>
      </w:pPr>
      <w:r>
        <w:t>‘S</w:t>
      </w:r>
      <w:r w:rsidRPr="002A664E">
        <w:t xml:space="preserve">ocial and emotional wellbeing is the foundation of physical and mental health for Indigenous Australians. It is a holistic concept that encompasses the </w:t>
      </w:r>
      <w:r w:rsidRPr="002A664E">
        <w:lastRenderedPageBreak/>
        <w:t>importance of connection to land, culture, spirituality and ancestry, and how these affect the wellbeing of the individual and the community</w:t>
      </w:r>
      <w:r>
        <w:t xml:space="preserve">.’ </w:t>
      </w:r>
    </w:p>
    <w:p w14:paraId="3E5D38A2" w14:textId="77777777" w:rsidR="00804DDC" w:rsidRDefault="00804DDC" w:rsidP="00A3485B">
      <w:pPr>
        <w:pStyle w:val="Quote"/>
      </w:pPr>
      <w:r>
        <w:t xml:space="preserve">– </w:t>
      </w:r>
      <w:r w:rsidRPr="0030027F">
        <w:t xml:space="preserve">Australian Institute of </w:t>
      </w:r>
      <w:r w:rsidRPr="00A3485B">
        <w:t>Health</w:t>
      </w:r>
      <w:r w:rsidRPr="0030027F">
        <w:t xml:space="preserve"> and Welfare </w:t>
      </w:r>
      <w:r>
        <w:rPr>
          <w:rStyle w:val="EndnoteReference"/>
        </w:rPr>
        <w:endnoteReference w:id="39"/>
      </w:r>
    </w:p>
    <w:p w14:paraId="19527F5D" w14:textId="79CFB65D" w:rsidR="00804DDC" w:rsidRDefault="00804DDC" w:rsidP="00A3485B">
      <w:pPr>
        <w:pStyle w:val="Figure"/>
        <w:ind w:left="1134" w:hanging="1134"/>
      </w:pPr>
      <w:r>
        <w:t>Remote and very remote communities have fundamentally different cultural contexts, and they vary widely</w:t>
      </w:r>
      <w:r>
        <w:rPr>
          <w:rStyle w:val="EndnoteReference"/>
        </w:rPr>
        <w:endnoteReference w:id="40"/>
      </w:r>
    </w:p>
    <w:p w14:paraId="0AEBEC13" w14:textId="7B75106A" w:rsidR="00A3485B" w:rsidRDefault="00804DDC" w:rsidP="00A3485B">
      <w:r>
        <w:rPr>
          <w:noProof/>
          <w:lang w:eastAsia="en-AU"/>
        </w:rPr>
        <w:drawing>
          <wp:inline distT="0" distB="0" distL="0" distR="0" wp14:anchorId="78E453C0" wp14:editId="6A12FBF1">
            <wp:extent cx="6120130" cy="1901825"/>
            <wp:effectExtent l="0" t="0" r="0" b="3175"/>
            <wp:docPr id="38" name="Picture 38" descr="Statistics of Australians who live remote or very remote (1.9%) - First Nations people make up 32% of remote and very remote occupants. As an example, in Far North Queensland (FNQ), 51.3% of FNQ population identify as First Nations people and 34.9% speak a language other than English at home. In Aurukun, 88.7% identify as First Nations people and in Coo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C-Figure 10.png"/>
                    <pic:cNvPicPr/>
                  </pic:nvPicPr>
                  <pic:blipFill>
                    <a:blip r:embed="rId33">
                      <a:extLst>
                        <a:ext uri="{28A0092B-C50C-407E-A947-70E740481C1C}">
                          <a14:useLocalDpi xmlns:a14="http://schemas.microsoft.com/office/drawing/2010/main" val="0"/>
                        </a:ext>
                      </a:extLst>
                    </a:blip>
                    <a:stretch>
                      <a:fillRect/>
                    </a:stretch>
                  </pic:blipFill>
                  <pic:spPr>
                    <a:xfrm>
                      <a:off x="0" y="0"/>
                      <a:ext cx="6120130" cy="1901825"/>
                    </a:xfrm>
                    <a:prstGeom prst="rect">
                      <a:avLst/>
                    </a:prstGeom>
                  </pic:spPr>
                </pic:pic>
              </a:graphicData>
            </a:graphic>
          </wp:inline>
        </w:drawing>
      </w:r>
    </w:p>
    <w:p w14:paraId="5503BEB3" w14:textId="683CB606" w:rsidR="00804DDC" w:rsidRDefault="00804DDC" w:rsidP="00804DDC">
      <w:pPr>
        <w:pStyle w:val="00-Bodytable"/>
        <w:rPr>
          <w:i/>
        </w:rPr>
      </w:pPr>
      <w:r w:rsidRPr="00804DDC">
        <w:rPr>
          <w:i/>
        </w:rPr>
        <w:t xml:space="preserve">Note: Far North Queensland (Statistical Area Level 3) covers 16 local government areas (LGA). </w:t>
      </w:r>
    </w:p>
    <w:p w14:paraId="00DD0A3C" w14:textId="77777777" w:rsidR="00804DDC" w:rsidRDefault="00804DDC" w:rsidP="00804DDC">
      <w:pPr>
        <w:pStyle w:val="Heading4"/>
      </w:pPr>
      <w:r>
        <w:t>Pricing initiatives to date go some way in addressing these challenges …</w:t>
      </w:r>
    </w:p>
    <w:p w14:paraId="3ADE4C15" w14:textId="77777777" w:rsidR="00804DDC" w:rsidRDefault="00804DDC" w:rsidP="00804DDC">
      <w:r>
        <w:t>Price limits for NDIS supports have been adjusted in recognition of the costs associated with delivering supports to remote areas</w:t>
      </w:r>
      <w:r>
        <w:rPr>
          <w:rStyle w:val="EndnoteReference"/>
        </w:rPr>
        <w:endnoteReference w:id="41"/>
      </w:r>
      <w:r>
        <w:t xml:space="preserve">. </w:t>
      </w:r>
    </w:p>
    <w:p w14:paraId="7D198284" w14:textId="77777777" w:rsidR="00804DDC" w:rsidRDefault="00804DDC" w:rsidP="00804DDC">
      <w:r>
        <w:t>In July 2019, remote and very remote loadings have been uniformly increased from 20% and 25%</w:t>
      </w:r>
      <w:r w:rsidDel="00FD314D">
        <w:t xml:space="preserve"> </w:t>
      </w:r>
      <w:r>
        <w:t>to 40%</w:t>
      </w:r>
      <w:r w:rsidDel="00FD314D">
        <w:t xml:space="preserve"> </w:t>
      </w:r>
      <w:r>
        <w:t>and 50% respectively</w:t>
      </w:r>
      <w:r>
        <w:rPr>
          <w:rStyle w:val="EndnoteReference"/>
        </w:rPr>
        <w:endnoteReference w:id="42"/>
      </w:r>
      <w:r>
        <w:t>. From 2020 onwards, the NDIA also introduced more flexible pricing arrangements allowing for services to be delivered via other models, including via telehealth.</w:t>
      </w:r>
    </w:p>
    <w:p w14:paraId="56B0F2CB" w14:textId="77777777" w:rsidR="00804DDC" w:rsidRDefault="00804DDC" w:rsidP="00804DDC">
      <w:r>
        <w:t>This has seen some improvements in access to supports. Average NDIS plan utilisation rates increased slightly in remote areas – from 63% in June 2019 to</w:t>
      </w:r>
      <w:r w:rsidRPr="00826864">
        <w:t xml:space="preserve"> </w:t>
      </w:r>
      <w:r>
        <w:t xml:space="preserve">68% in December 2022. Very remote areas have seen a larger change – increasing from </w:t>
      </w:r>
      <w:r>
        <w:br/>
        <w:t xml:space="preserve">39% in June 2019 to 52% in December 2022. </w:t>
      </w:r>
    </w:p>
    <w:p w14:paraId="5D5F44DD" w14:textId="0CC03A47" w:rsidR="00033257" w:rsidRDefault="00804DDC" w:rsidP="00804DDC">
      <w:r>
        <w:t xml:space="preserve">Even so, participant outcomes in remote and very remote communities still lag well behind metropolitan and regional areas, which had average plan utilisation rates of over 70% in December 2021 (Figure 11). </w:t>
      </w:r>
    </w:p>
    <w:p w14:paraId="45887688" w14:textId="77777777" w:rsidR="00033257" w:rsidRDefault="00033257">
      <w:pPr>
        <w:spacing w:after="200" w:line="288" w:lineRule="auto"/>
      </w:pPr>
      <w:r>
        <w:br w:type="page"/>
      </w:r>
    </w:p>
    <w:p w14:paraId="7C200115" w14:textId="3383EA7E" w:rsidR="00804DDC" w:rsidRPr="00804DDC" w:rsidRDefault="00804DDC" w:rsidP="00804DDC">
      <w:pPr>
        <w:pStyle w:val="Figure"/>
        <w:ind w:left="1134" w:hanging="1134"/>
        <w:rPr>
          <w:i/>
        </w:rPr>
      </w:pPr>
      <w:r>
        <w:lastRenderedPageBreak/>
        <w:t>Uniform increases in remote and very remote loadings in NDIS price limits are not enough to address thin markets in remote and very remote areas</w:t>
      </w:r>
      <w:r>
        <w:rPr>
          <w:rStyle w:val="EndnoteReference"/>
        </w:rPr>
        <w:endnoteReference w:id="43"/>
      </w:r>
    </w:p>
    <w:tbl>
      <w:tblPr>
        <w:tblStyle w:val="GridTable4-Accent12"/>
        <w:tblW w:w="9813" w:type="dxa"/>
        <w:tblInd w:w="0" w:type="dxa"/>
        <w:tblLook w:val="0420" w:firstRow="1" w:lastRow="0" w:firstColumn="0" w:lastColumn="0" w:noHBand="0" w:noVBand="1"/>
        <w:tblCaption w:val="Table comparing NDIS price limits in 2019 and 2021, and changes to utilisation since"/>
        <w:tblDescription w:val="Table shows the increase in price limits for each remoteness classification (using the Modified Monash Model) from 2019 to 2021. Plan utilisation by remoteness is also provided for June 2019 and December 2022 for comparison. "/>
      </w:tblPr>
      <w:tblGrid>
        <w:gridCol w:w="1514"/>
        <w:gridCol w:w="1214"/>
        <w:gridCol w:w="953"/>
        <w:gridCol w:w="1984"/>
        <w:gridCol w:w="1169"/>
        <w:gridCol w:w="1460"/>
        <w:gridCol w:w="1519"/>
      </w:tblGrid>
      <w:tr w:rsidR="00804DDC" w:rsidRPr="00405D6A" w14:paraId="0549E0F0" w14:textId="77777777" w:rsidTr="006A65D4">
        <w:trPr>
          <w:cnfStyle w:val="100000000000" w:firstRow="1" w:lastRow="0" w:firstColumn="0" w:lastColumn="0" w:oddVBand="0" w:evenVBand="0" w:oddHBand="0" w:evenHBand="0" w:firstRowFirstColumn="0" w:firstRowLastColumn="0" w:lastRowFirstColumn="0" w:lastRowLastColumn="0"/>
          <w:trHeight w:val="138"/>
          <w:tblHeader/>
        </w:trPr>
        <w:tc>
          <w:tcPr>
            <w:tcW w:w="1514" w:type="dxa"/>
            <w:shd w:val="clear" w:color="auto" w:fill="B381B3" w:themeFill="text2"/>
          </w:tcPr>
          <w:p w14:paraId="57884A57" w14:textId="77777777" w:rsidR="00804DDC" w:rsidRPr="00405D6A" w:rsidRDefault="00804DDC" w:rsidP="00804DDC">
            <w:pPr>
              <w:keepNext/>
              <w:rPr>
                <w:rFonts w:ascii="Arial" w:eastAsia="MS PGothic" w:hAnsi="Arial" w:cs="Arial"/>
                <w:sz w:val="16"/>
                <w:szCs w:val="24"/>
                <w:lang w:eastAsia="ja-JP"/>
              </w:rPr>
            </w:pPr>
            <w:r w:rsidRPr="00405D6A">
              <w:rPr>
                <w:rFonts w:ascii="Arial" w:eastAsia="MS PGothic" w:hAnsi="Arial" w:cs="Arial"/>
                <w:sz w:val="16"/>
                <w:szCs w:val="24"/>
                <w:lang w:eastAsia="ja-JP"/>
              </w:rPr>
              <w:t>Price of an hour of standard care</w:t>
            </w:r>
          </w:p>
        </w:tc>
        <w:tc>
          <w:tcPr>
            <w:tcW w:w="1214" w:type="dxa"/>
            <w:shd w:val="clear" w:color="auto" w:fill="B381B3" w:themeFill="text2"/>
          </w:tcPr>
          <w:p w14:paraId="2298BDF4"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Price June 2019</w:t>
            </w:r>
          </w:p>
        </w:tc>
        <w:tc>
          <w:tcPr>
            <w:tcW w:w="953" w:type="dxa"/>
            <w:shd w:val="clear" w:color="auto" w:fill="B381B3" w:themeFill="text2"/>
          </w:tcPr>
          <w:p w14:paraId="58BC0504"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Price Dec</w:t>
            </w:r>
            <w:r>
              <w:rPr>
                <w:rFonts w:ascii="Arial" w:eastAsia="MS PGothic" w:hAnsi="Arial" w:cs="Arial"/>
                <w:sz w:val="16"/>
                <w:szCs w:val="24"/>
                <w:lang w:eastAsia="ja-JP"/>
              </w:rPr>
              <w:t xml:space="preserve"> </w:t>
            </w:r>
            <w:r w:rsidRPr="00405D6A">
              <w:rPr>
                <w:rFonts w:ascii="Arial" w:eastAsia="MS PGothic" w:hAnsi="Arial" w:cs="Arial"/>
                <w:sz w:val="16"/>
                <w:szCs w:val="24"/>
                <w:lang w:eastAsia="ja-JP"/>
              </w:rPr>
              <w:t>2021</w:t>
            </w:r>
          </w:p>
        </w:tc>
        <w:tc>
          <w:tcPr>
            <w:tcW w:w="1984" w:type="dxa"/>
            <w:shd w:val="clear" w:color="auto" w:fill="B381B3" w:themeFill="text2"/>
          </w:tcPr>
          <w:p w14:paraId="40196051"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Pr>
                <w:rFonts w:ascii="Arial" w:eastAsia="MS PGothic" w:hAnsi="Arial" w:cs="Arial"/>
                <w:sz w:val="16"/>
                <w:szCs w:val="24"/>
                <w:lang w:eastAsia="ja-JP"/>
              </w:rPr>
              <w:t>Nominal i</w:t>
            </w:r>
            <w:r w:rsidRPr="00405D6A">
              <w:rPr>
                <w:rFonts w:ascii="Arial" w:eastAsia="MS PGothic" w:hAnsi="Arial" w:cs="Arial"/>
                <w:sz w:val="16"/>
                <w:szCs w:val="24"/>
                <w:lang w:eastAsia="ja-JP"/>
              </w:rPr>
              <w:t>ncrease</w:t>
            </w:r>
            <w:r>
              <w:rPr>
                <w:rFonts w:ascii="Arial" w:eastAsia="MS PGothic" w:hAnsi="Arial" w:cs="Arial"/>
                <w:sz w:val="16"/>
                <w:szCs w:val="24"/>
                <w:lang w:eastAsia="ja-JP"/>
              </w:rPr>
              <w:t>s</w:t>
            </w:r>
            <w:r w:rsidRPr="00405D6A">
              <w:rPr>
                <w:rFonts w:ascii="Arial" w:eastAsia="MS PGothic" w:hAnsi="Arial" w:cs="Arial"/>
                <w:sz w:val="16"/>
                <w:szCs w:val="24"/>
                <w:lang w:eastAsia="ja-JP"/>
              </w:rPr>
              <w:t xml:space="preserve"> in price</w:t>
            </w:r>
            <w:r>
              <w:rPr>
                <w:rFonts w:ascii="Arial" w:eastAsia="MS PGothic" w:hAnsi="Arial" w:cs="Arial"/>
                <w:sz w:val="16"/>
                <w:szCs w:val="24"/>
                <w:lang w:eastAsia="ja-JP"/>
              </w:rPr>
              <w:t>, including loading</w:t>
            </w:r>
            <w:r w:rsidRPr="00405D6A">
              <w:rPr>
                <w:rFonts w:ascii="Arial" w:eastAsia="MS PGothic" w:hAnsi="Arial" w:cs="Arial"/>
                <w:sz w:val="16"/>
                <w:szCs w:val="24"/>
                <w:lang w:eastAsia="ja-JP"/>
              </w:rPr>
              <w:t xml:space="preserve"> (%)</w:t>
            </w:r>
          </w:p>
        </w:tc>
        <w:tc>
          <w:tcPr>
            <w:tcW w:w="1169" w:type="dxa"/>
            <w:shd w:val="clear" w:color="auto" w:fill="B381B3" w:themeFill="text2"/>
          </w:tcPr>
          <w:p w14:paraId="2890D28D"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Utilisation June 2019</w:t>
            </w:r>
          </w:p>
        </w:tc>
        <w:tc>
          <w:tcPr>
            <w:tcW w:w="1460" w:type="dxa"/>
            <w:shd w:val="clear" w:color="auto" w:fill="B381B3" w:themeFill="text2"/>
          </w:tcPr>
          <w:p w14:paraId="56EA3DDE"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 xml:space="preserve">Utilisation </w:t>
            </w:r>
            <w:r>
              <w:rPr>
                <w:rFonts w:ascii="Arial" w:eastAsia="MS PGothic" w:hAnsi="Arial" w:cs="Arial"/>
                <w:sz w:val="16"/>
                <w:szCs w:val="24"/>
                <w:lang w:eastAsia="ja-JP"/>
              </w:rPr>
              <w:t>December 2022</w:t>
            </w:r>
          </w:p>
        </w:tc>
        <w:tc>
          <w:tcPr>
            <w:tcW w:w="1519" w:type="dxa"/>
            <w:shd w:val="clear" w:color="auto" w:fill="B381B3" w:themeFill="text2"/>
          </w:tcPr>
          <w:p w14:paraId="735454E6"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Increase in utilisation (%)</w:t>
            </w:r>
          </w:p>
        </w:tc>
      </w:tr>
      <w:tr w:rsidR="00804DDC" w:rsidRPr="00405D6A" w14:paraId="59DC849F" w14:textId="77777777" w:rsidTr="00804DDC">
        <w:trPr>
          <w:cnfStyle w:val="000000100000" w:firstRow="0" w:lastRow="0" w:firstColumn="0" w:lastColumn="0" w:oddVBand="0" w:evenVBand="0" w:oddHBand="1" w:evenHBand="0" w:firstRowFirstColumn="0" w:firstRowLastColumn="0" w:lastRowFirstColumn="0" w:lastRowLastColumn="0"/>
          <w:trHeight w:val="222"/>
        </w:trPr>
        <w:tc>
          <w:tcPr>
            <w:tcW w:w="1514" w:type="dxa"/>
          </w:tcPr>
          <w:p w14:paraId="7E470185" w14:textId="77777777" w:rsidR="00804DDC" w:rsidRPr="00405D6A" w:rsidRDefault="00804DDC" w:rsidP="00804DDC">
            <w:pPr>
              <w:keepNext/>
              <w:spacing w:after="40" w:line="240" w:lineRule="auto"/>
              <w:rPr>
                <w:rFonts w:ascii="Arial" w:eastAsia="MS PGothic" w:hAnsi="Arial" w:cs="Arial"/>
                <w:sz w:val="16"/>
                <w:szCs w:val="24"/>
                <w:lang w:eastAsia="ja-JP"/>
              </w:rPr>
            </w:pPr>
            <w:r w:rsidRPr="00405D6A">
              <w:rPr>
                <w:rFonts w:ascii="Arial" w:eastAsia="MS PGothic" w:hAnsi="Arial" w:cs="Arial"/>
                <w:sz w:val="16"/>
                <w:szCs w:val="24"/>
                <w:lang w:eastAsia="ja-JP"/>
              </w:rPr>
              <w:t>MMM 1</w:t>
            </w:r>
          </w:p>
        </w:tc>
        <w:tc>
          <w:tcPr>
            <w:tcW w:w="1214" w:type="dxa"/>
          </w:tcPr>
          <w:p w14:paraId="05123D36"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$45.54</w:t>
            </w:r>
          </w:p>
        </w:tc>
        <w:tc>
          <w:tcPr>
            <w:tcW w:w="953" w:type="dxa"/>
          </w:tcPr>
          <w:p w14:paraId="27C2F7B1"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$57.23</w:t>
            </w:r>
          </w:p>
        </w:tc>
        <w:tc>
          <w:tcPr>
            <w:tcW w:w="1984" w:type="dxa"/>
          </w:tcPr>
          <w:p w14:paraId="7DA5082E"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25.7%</w:t>
            </w:r>
          </w:p>
        </w:tc>
        <w:tc>
          <w:tcPr>
            <w:tcW w:w="1169" w:type="dxa"/>
          </w:tcPr>
          <w:p w14:paraId="3F37C678"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69%</w:t>
            </w:r>
          </w:p>
        </w:tc>
        <w:tc>
          <w:tcPr>
            <w:tcW w:w="1460" w:type="dxa"/>
          </w:tcPr>
          <w:p w14:paraId="59C5C9E0"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9F5101">
              <w:rPr>
                <w:rFonts w:ascii="Arial" w:hAnsi="Arial" w:cs="Arial"/>
                <w:sz w:val="16"/>
                <w:szCs w:val="16"/>
                <w:lang w:eastAsia="ja-JP"/>
              </w:rPr>
              <w:t>76</w:t>
            </w:r>
            <w:r w:rsidRPr="00405D6A">
              <w:rPr>
                <w:rFonts w:ascii="Arial" w:eastAsia="MS PGothic" w:hAnsi="Arial" w:cs="Arial"/>
                <w:sz w:val="16"/>
                <w:szCs w:val="24"/>
                <w:lang w:eastAsia="ja-JP"/>
              </w:rPr>
              <w:t>%</w:t>
            </w:r>
          </w:p>
        </w:tc>
        <w:tc>
          <w:tcPr>
            <w:tcW w:w="1519" w:type="dxa"/>
          </w:tcPr>
          <w:p w14:paraId="13DE7FE1"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Pr>
                <w:rFonts w:ascii="Arial" w:eastAsia="MS PGothic" w:hAnsi="Arial" w:cs="Arial"/>
                <w:sz w:val="16"/>
                <w:szCs w:val="24"/>
                <w:lang w:eastAsia="ja-JP"/>
              </w:rPr>
              <w:t>7</w:t>
            </w:r>
            <w:r w:rsidRPr="00405D6A">
              <w:rPr>
                <w:rFonts w:ascii="Arial" w:eastAsia="MS PGothic" w:hAnsi="Arial" w:cs="Arial"/>
                <w:sz w:val="16"/>
                <w:szCs w:val="24"/>
                <w:lang w:eastAsia="ja-JP"/>
              </w:rPr>
              <w:t>%</w:t>
            </w:r>
          </w:p>
        </w:tc>
      </w:tr>
      <w:tr w:rsidR="00804DDC" w:rsidRPr="00405D6A" w14:paraId="2C1763B1" w14:textId="77777777" w:rsidTr="00804DDC">
        <w:trPr>
          <w:trHeight w:val="222"/>
        </w:trPr>
        <w:tc>
          <w:tcPr>
            <w:tcW w:w="1514" w:type="dxa"/>
          </w:tcPr>
          <w:p w14:paraId="7BD8B634" w14:textId="77777777" w:rsidR="00804DDC" w:rsidRPr="00405D6A" w:rsidRDefault="00804DDC" w:rsidP="00804DDC">
            <w:pPr>
              <w:keepNext/>
              <w:spacing w:after="40" w:line="240" w:lineRule="auto"/>
              <w:rPr>
                <w:rFonts w:ascii="Arial" w:eastAsia="MS PGothic" w:hAnsi="Arial" w:cs="Arial"/>
                <w:sz w:val="16"/>
                <w:szCs w:val="24"/>
                <w:lang w:eastAsia="ja-JP"/>
              </w:rPr>
            </w:pPr>
            <w:r w:rsidRPr="00405D6A">
              <w:rPr>
                <w:rFonts w:ascii="Arial" w:eastAsia="MS PGothic" w:hAnsi="Arial" w:cs="Arial"/>
                <w:sz w:val="16"/>
                <w:szCs w:val="24"/>
                <w:lang w:eastAsia="ja-JP"/>
              </w:rPr>
              <w:t>MMM 2</w:t>
            </w:r>
          </w:p>
        </w:tc>
        <w:tc>
          <w:tcPr>
            <w:tcW w:w="1214" w:type="dxa"/>
          </w:tcPr>
          <w:p w14:paraId="43D2DF0D"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$45.54</w:t>
            </w:r>
          </w:p>
        </w:tc>
        <w:tc>
          <w:tcPr>
            <w:tcW w:w="953" w:type="dxa"/>
          </w:tcPr>
          <w:p w14:paraId="0BC3E0CC"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$57.23</w:t>
            </w:r>
          </w:p>
        </w:tc>
        <w:tc>
          <w:tcPr>
            <w:tcW w:w="1984" w:type="dxa"/>
          </w:tcPr>
          <w:p w14:paraId="7493BB3D"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25.7%</w:t>
            </w:r>
          </w:p>
        </w:tc>
        <w:tc>
          <w:tcPr>
            <w:tcW w:w="1169" w:type="dxa"/>
          </w:tcPr>
          <w:p w14:paraId="6282F7C9"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69%</w:t>
            </w:r>
          </w:p>
        </w:tc>
        <w:tc>
          <w:tcPr>
            <w:tcW w:w="1460" w:type="dxa"/>
          </w:tcPr>
          <w:p w14:paraId="5568D81F"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9F5101">
              <w:rPr>
                <w:rFonts w:ascii="Arial" w:hAnsi="Arial" w:cs="Arial"/>
                <w:sz w:val="16"/>
                <w:szCs w:val="16"/>
                <w:lang w:eastAsia="ja-JP"/>
              </w:rPr>
              <w:t>74</w:t>
            </w:r>
            <w:r w:rsidRPr="00405D6A">
              <w:rPr>
                <w:rFonts w:ascii="Arial" w:eastAsia="MS PGothic" w:hAnsi="Arial" w:cs="Arial"/>
                <w:sz w:val="16"/>
                <w:szCs w:val="24"/>
                <w:lang w:eastAsia="ja-JP"/>
              </w:rPr>
              <w:t>%</w:t>
            </w:r>
          </w:p>
        </w:tc>
        <w:tc>
          <w:tcPr>
            <w:tcW w:w="1519" w:type="dxa"/>
          </w:tcPr>
          <w:p w14:paraId="32381200"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Pr>
                <w:rFonts w:ascii="Arial" w:eastAsia="MS PGothic" w:hAnsi="Arial" w:cs="Arial"/>
                <w:sz w:val="16"/>
                <w:szCs w:val="24"/>
                <w:lang w:eastAsia="ja-JP"/>
              </w:rPr>
              <w:t>5</w:t>
            </w:r>
            <w:r w:rsidRPr="00405D6A">
              <w:rPr>
                <w:rFonts w:ascii="Arial" w:eastAsia="MS PGothic" w:hAnsi="Arial" w:cs="Arial"/>
                <w:sz w:val="16"/>
                <w:szCs w:val="24"/>
                <w:lang w:eastAsia="ja-JP"/>
              </w:rPr>
              <w:t>%</w:t>
            </w:r>
          </w:p>
        </w:tc>
      </w:tr>
      <w:tr w:rsidR="00804DDC" w:rsidRPr="00405D6A" w14:paraId="73032B0A" w14:textId="77777777" w:rsidTr="00804DDC">
        <w:trPr>
          <w:cnfStyle w:val="000000100000" w:firstRow="0" w:lastRow="0" w:firstColumn="0" w:lastColumn="0" w:oddVBand="0" w:evenVBand="0" w:oddHBand="1" w:evenHBand="0" w:firstRowFirstColumn="0" w:firstRowLastColumn="0" w:lastRowFirstColumn="0" w:lastRowLastColumn="0"/>
          <w:trHeight w:val="222"/>
        </w:trPr>
        <w:tc>
          <w:tcPr>
            <w:tcW w:w="1514" w:type="dxa"/>
            <w:shd w:val="clear" w:color="auto" w:fill="EFE5EF" w:themeFill="text2" w:themeFillTint="33"/>
          </w:tcPr>
          <w:p w14:paraId="1858410A" w14:textId="77777777" w:rsidR="00804DDC" w:rsidRPr="00405D6A" w:rsidRDefault="00804DDC" w:rsidP="00804DDC">
            <w:pPr>
              <w:keepNext/>
              <w:spacing w:after="40" w:line="240" w:lineRule="auto"/>
              <w:rPr>
                <w:rFonts w:ascii="Arial" w:eastAsia="MS PGothic" w:hAnsi="Arial" w:cs="Arial"/>
                <w:sz w:val="16"/>
                <w:szCs w:val="24"/>
                <w:lang w:eastAsia="ja-JP"/>
              </w:rPr>
            </w:pPr>
            <w:r w:rsidRPr="00405D6A">
              <w:rPr>
                <w:rFonts w:ascii="Arial" w:eastAsia="MS PGothic" w:hAnsi="Arial" w:cs="Arial"/>
                <w:sz w:val="16"/>
                <w:szCs w:val="24"/>
                <w:lang w:eastAsia="ja-JP"/>
              </w:rPr>
              <w:t>MMM 3</w:t>
            </w:r>
          </w:p>
        </w:tc>
        <w:tc>
          <w:tcPr>
            <w:tcW w:w="1214" w:type="dxa"/>
            <w:shd w:val="clear" w:color="auto" w:fill="EFE5EF" w:themeFill="text2" w:themeFillTint="33"/>
          </w:tcPr>
          <w:p w14:paraId="0CC3D7E8"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$45.54</w:t>
            </w:r>
          </w:p>
        </w:tc>
        <w:tc>
          <w:tcPr>
            <w:tcW w:w="953" w:type="dxa"/>
            <w:shd w:val="clear" w:color="auto" w:fill="EFE5EF" w:themeFill="text2" w:themeFillTint="33"/>
          </w:tcPr>
          <w:p w14:paraId="503E8665"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$57.23</w:t>
            </w:r>
          </w:p>
        </w:tc>
        <w:tc>
          <w:tcPr>
            <w:tcW w:w="1984" w:type="dxa"/>
            <w:shd w:val="clear" w:color="auto" w:fill="EFE5EF" w:themeFill="text2" w:themeFillTint="33"/>
          </w:tcPr>
          <w:p w14:paraId="09B6A37E"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25.7%</w:t>
            </w:r>
          </w:p>
        </w:tc>
        <w:tc>
          <w:tcPr>
            <w:tcW w:w="1169" w:type="dxa"/>
            <w:shd w:val="clear" w:color="auto" w:fill="EFE5EF" w:themeFill="text2" w:themeFillTint="33"/>
          </w:tcPr>
          <w:p w14:paraId="3EAAC13C"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67%</w:t>
            </w:r>
          </w:p>
        </w:tc>
        <w:tc>
          <w:tcPr>
            <w:tcW w:w="1460" w:type="dxa"/>
            <w:shd w:val="clear" w:color="auto" w:fill="EFE5EF" w:themeFill="text2" w:themeFillTint="33"/>
          </w:tcPr>
          <w:p w14:paraId="37C3F7EF"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9F5101">
              <w:rPr>
                <w:rFonts w:ascii="Arial" w:hAnsi="Arial" w:cs="Arial"/>
                <w:sz w:val="16"/>
                <w:szCs w:val="16"/>
                <w:lang w:eastAsia="ja-JP"/>
              </w:rPr>
              <w:t>71</w:t>
            </w:r>
            <w:r w:rsidRPr="00405D6A">
              <w:rPr>
                <w:rFonts w:ascii="Arial" w:eastAsia="MS PGothic" w:hAnsi="Arial" w:cs="Arial"/>
                <w:sz w:val="16"/>
                <w:szCs w:val="24"/>
                <w:lang w:eastAsia="ja-JP"/>
              </w:rPr>
              <w:t>%</w:t>
            </w:r>
          </w:p>
        </w:tc>
        <w:tc>
          <w:tcPr>
            <w:tcW w:w="1519" w:type="dxa"/>
            <w:shd w:val="clear" w:color="auto" w:fill="EFE5EF" w:themeFill="text2" w:themeFillTint="33"/>
          </w:tcPr>
          <w:p w14:paraId="740B5D32"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Pr>
                <w:rFonts w:ascii="Arial" w:eastAsia="MS PGothic" w:hAnsi="Arial" w:cs="Arial"/>
                <w:sz w:val="16"/>
                <w:szCs w:val="24"/>
                <w:lang w:eastAsia="ja-JP"/>
              </w:rPr>
              <w:t>4</w:t>
            </w:r>
            <w:r w:rsidRPr="00405D6A">
              <w:rPr>
                <w:rFonts w:ascii="Arial" w:eastAsia="MS PGothic" w:hAnsi="Arial" w:cs="Arial"/>
                <w:sz w:val="16"/>
                <w:szCs w:val="24"/>
                <w:lang w:eastAsia="ja-JP"/>
              </w:rPr>
              <w:t>%</w:t>
            </w:r>
          </w:p>
        </w:tc>
      </w:tr>
      <w:tr w:rsidR="00804DDC" w:rsidRPr="00405D6A" w14:paraId="0945643F" w14:textId="77777777" w:rsidTr="00804DDC">
        <w:trPr>
          <w:trHeight w:val="212"/>
        </w:trPr>
        <w:tc>
          <w:tcPr>
            <w:tcW w:w="1514" w:type="dxa"/>
          </w:tcPr>
          <w:p w14:paraId="5B9723C7" w14:textId="77777777" w:rsidR="00804DDC" w:rsidRPr="00405D6A" w:rsidRDefault="00804DDC" w:rsidP="00804DDC">
            <w:pPr>
              <w:keepNext/>
              <w:spacing w:after="40" w:line="240" w:lineRule="auto"/>
              <w:rPr>
                <w:rFonts w:ascii="Arial" w:eastAsia="MS PGothic" w:hAnsi="Arial" w:cs="Arial"/>
                <w:sz w:val="16"/>
                <w:szCs w:val="24"/>
                <w:lang w:eastAsia="ja-JP"/>
              </w:rPr>
            </w:pPr>
            <w:r w:rsidRPr="00405D6A">
              <w:rPr>
                <w:rFonts w:ascii="Arial" w:eastAsia="MS PGothic" w:hAnsi="Arial" w:cs="Arial"/>
                <w:sz w:val="16"/>
                <w:szCs w:val="24"/>
                <w:lang w:eastAsia="ja-JP"/>
              </w:rPr>
              <w:t>MMM 4</w:t>
            </w:r>
          </w:p>
        </w:tc>
        <w:tc>
          <w:tcPr>
            <w:tcW w:w="1214" w:type="dxa"/>
          </w:tcPr>
          <w:p w14:paraId="504480F4"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$45.54</w:t>
            </w:r>
          </w:p>
        </w:tc>
        <w:tc>
          <w:tcPr>
            <w:tcW w:w="953" w:type="dxa"/>
          </w:tcPr>
          <w:p w14:paraId="6F13ED8D"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$57.23</w:t>
            </w:r>
          </w:p>
        </w:tc>
        <w:tc>
          <w:tcPr>
            <w:tcW w:w="1984" w:type="dxa"/>
          </w:tcPr>
          <w:p w14:paraId="6A8D1D0D"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25.7%</w:t>
            </w:r>
          </w:p>
        </w:tc>
        <w:tc>
          <w:tcPr>
            <w:tcW w:w="1169" w:type="dxa"/>
          </w:tcPr>
          <w:p w14:paraId="42A06C0A"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65%</w:t>
            </w:r>
          </w:p>
        </w:tc>
        <w:tc>
          <w:tcPr>
            <w:tcW w:w="1460" w:type="dxa"/>
          </w:tcPr>
          <w:p w14:paraId="1F5DA030"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9F5101">
              <w:rPr>
                <w:rFonts w:ascii="Arial" w:hAnsi="Arial" w:cs="Arial"/>
                <w:sz w:val="16"/>
                <w:szCs w:val="16"/>
                <w:lang w:eastAsia="ja-JP"/>
              </w:rPr>
              <w:t>66</w:t>
            </w:r>
            <w:r w:rsidRPr="00405D6A">
              <w:rPr>
                <w:rFonts w:ascii="Arial" w:eastAsia="MS PGothic" w:hAnsi="Arial" w:cs="Arial"/>
                <w:sz w:val="16"/>
                <w:szCs w:val="24"/>
                <w:lang w:eastAsia="ja-JP"/>
              </w:rPr>
              <w:t>%</w:t>
            </w:r>
          </w:p>
        </w:tc>
        <w:tc>
          <w:tcPr>
            <w:tcW w:w="1519" w:type="dxa"/>
          </w:tcPr>
          <w:p w14:paraId="65D72222"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Pr>
                <w:rFonts w:ascii="Arial" w:eastAsia="MS PGothic" w:hAnsi="Arial" w:cs="Arial"/>
                <w:sz w:val="16"/>
                <w:szCs w:val="24"/>
                <w:lang w:eastAsia="ja-JP"/>
              </w:rPr>
              <w:t>1</w:t>
            </w:r>
            <w:r w:rsidRPr="00405D6A">
              <w:rPr>
                <w:rFonts w:ascii="Arial" w:eastAsia="MS PGothic" w:hAnsi="Arial" w:cs="Arial"/>
                <w:sz w:val="16"/>
                <w:szCs w:val="24"/>
                <w:lang w:eastAsia="ja-JP"/>
              </w:rPr>
              <w:t>%</w:t>
            </w:r>
          </w:p>
        </w:tc>
      </w:tr>
      <w:tr w:rsidR="00804DDC" w:rsidRPr="00405D6A" w14:paraId="336E2C58" w14:textId="77777777" w:rsidTr="00804DDC">
        <w:trPr>
          <w:cnfStyle w:val="000000100000" w:firstRow="0" w:lastRow="0" w:firstColumn="0" w:lastColumn="0" w:oddVBand="0" w:evenVBand="0" w:oddHBand="1" w:evenHBand="0" w:firstRowFirstColumn="0" w:firstRowLastColumn="0" w:lastRowFirstColumn="0" w:lastRowLastColumn="0"/>
          <w:trHeight w:val="222"/>
        </w:trPr>
        <w:tc>
          <w:tcPr>
            <w:tcW w:w="1514" w:type="dxa"/>
            <w:shd w:val="clear" w:color="auto" w:fill="EFE5EF" w:themeFill="text2" w:themeFillTint="33"/>
          </w:tcPr>
          <w:p w14:paraId="46237BF5" w14:textId="77777777" w:rsidR="00804DDC" w:rsidRPr="00405D6A" w:rsidRDefault="00804DDC" w:rsidP="00804DDC">
            <w:pPr>
              <w:keepNext/>
              <w:spacing w:after="40" w:line="240" w:lineRule="auto"/>
              <w:rPr>
                <w:rFonts w:ascii="Arial" w:eastAsia="MS PGothic" w:hAnsi="Arial" w:cs="Arial"/>
                <w:sz w:val="16"/>
                <w:szCs w:val="24"/>
                <w:lang w:eastAsia="ja-JP"/>
              </w:rPr>
            </w:pPr>
            <w:r w:rsidRPr="00405D6A">
              <w:rPr>
                <w:rFonts w:ascii="Arial" w:eastAsia="MS PGothic" w:hAnsi="Arial" w:cs="Arial"/>
                <w:sz w:val="16"/>
                <w:szCs w:val="24"/>
                <w:lang w:eastAsia="ja-JP"/>
              </w:rPr>
              <w:t>MMM 5</w:t>
            </w:r>
          </w:p>
        </w:tc>
        <w:tc>
          <w:tcPr>
            <w:tcW w:w="1214" w:type="dxa"/>
            <w:shd w:val="clear" w:color="auto" w:fill="EFE5EF" w:themeFill="text2" w:themeFillTint="33"/>
          </w:tcPr>
          <w:p w14:paraId="5A575340"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$45.54</w:t>
            </w:r>
          </w:p>
        </w:tc>
        <w:tc>
          <w:tcPr>
            <w:tcW w:w="953" w:type="dxa"/>
            <w:shd w:val="clear" w:color="auto" w:fill="EFE5EF" w:themeFill="text2" w:themeFillTint="33"/>
          </w:tcPr>
          <w:p w14:paraId="632191A5"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$57.23</w:t>
            </w:r>
          </w:p>
        </w:tc>
        <w:tc>
          <w:tcPr>
            <w:tcW w:w="1984" w:type="dxa"/>
            <w:shd w:val="clear" w:color="auto" w:fill="EFE5EF" w:themeFill="text2" w:themeFillTint="33"/>
          </w:tcPr>
          <w:p w14:paraId="19DD4727"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25.7%</w:t>
            </w:r>
          </w:p>
        </w:tc>
        <w:tc>
          <w:tcPr>
            <w:tcW w:w="1169" w:type="dxa"/>
            <w:shd w:val="clear" w:color="auto" w:fill="EFE5EF" w:themeFill="text2" w:themeFillTint="33"/>
          </w:tcPr>
          <w:p w14:paraId="58FF5F56"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58%</w:t>
            </w:r>
          </w:p>
        </w:tc>
        <w:tc>
          <w:tcPr>
            <w:tcW w:w="1460" w:type="dxa"/>
            <w:shd w:val="clear" w:color="auto" w:fill="EFE5EF" w:themeFill="text2" w:themeFillTint="33"/>
          </w:tcPr>
          <w:p w14:paraId="57F93A9C"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9F5101">
              <w:rPr>
                <w:rFonts w:ascii="Arial" w:hAnsi="Arial" w:cs="Arial"/>
                <w:sz w:val="16"/>
                <w:szCs w:val="16"/>
                <w:lang w:eastAsia="ja-JP"/>
              </w:rPr>
              <w:t>68</w:t>
            </w:r>
            <w:r w:rsidRPr="00405D6A">
              <w:rPr>
                <w:rFonts w:ascii="Arial" w:eastAsia="MS PGothic" w:hAnsi="Arial" w:cs="Arial"/>
                <w:sz w:val="16"/>
                <w:szCs w:val="24"/>
                <w:lang w:eastAsia="ja-JP"/>
              </w:rPr>
              <w:t>%</w:t>
            </w:r>
          </w:p>
        </w:tc>
        <w:tc>
          <w:tcPr>
            <w:tcW w:w="1519" w:type="dxa"/>
            <w:shd w:val="clear" w:color="auto" w:fill="EFE5EF" w:themeFill="text2" w:themeFillTint="33"/>
          </w:tcPr>
          <w:p w14:paraId="0F4A60BF"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Pr>
                <w:rFonts w:ascii="Arial" w:eastAsia="MS PGothic" w:hAnsi="Arial" w:cs="Arial"/>
                <w:sz w:val="16"/>
                <w:szCs w:val="24"/>
                <w:lang w:eastAsia="ja-JP"/>
              </w:rPr>
              <w:t>10</w:t>
            </w:r>
            <w:r w:rsidRPr="00405D6A">
              <w:rPr>
                <w:rFonts w:ascii="Arial" w:eastAsia="MS PGothic" w:hAnsi="Arial" w:cs="Arial"/>
                <w:sz w:val="16"/>
                <w:szCs w:val="24"/>
                <w:lang w:eastAsia="ja-JP"/>
              </w:rPr>
              <w:t>%</w:t>
            </w:r>
          </w:p>
        </w:tc>
      </w:tr>
      <w:tr w:rsidR="00804DDC" w:rsidRPr="00405D6A" w14:paraId="6B8BE0D1" w14:textId="77777777" w:rsidTr="00804DDC">
        <w:trPr>
          <w:trHeight w:val="222"/>
        </w:trPr>
        <w:tc>
          <w:tcPr>
            <w:tcW w:w="1514" w:type="dxa"/>
          </w:tcPr>
          <w:p w14:paraId="24A80536" w14:textId="77777777" w:rsidR="00804DDC" w:rsidRPr="00405D6A" w:rsidRDefault="00804DDC" w:rsidP="00804DDC">
            <w:pPr>
              <w:keepNext/>
              <w:spacing w:after="40" w:line="240" w:lineRule="auto"/>
              <w:rPr>
                <w:rFonts w:ascii="Arial" w:eastAsia="MS PGothic" w:hAnsi="Arial" w:cs="Arial"/>
                <w:sz w:val="16"/>
                <w:szCs w:val="24"/>
                <w:lang w:eastAsia="ja-JP"/>
              </w:rPr>
            </w:pPr>
            <w:r w:rsidRPr="00405D6A">
              <w:rPr>
                <w:rFonts w:ascii="Arial" w:eastAsia="MS PGothic" w:hAnsi="Arial" w:cs="Arial"/>
                <w:sz w:val="16"/>
                <w:szCs w:val="24"/>
                <w:lang w:eastAsia="ja-JP"/>
              </w:rPr>
              <w:t>MMM 6</w:t>
            </w:r>
          </w:p>
        </w:tc>
        <w:tc>
          <w:tcPr>
            <w:tcW w:w="1214" w:type="dxa"/>
          </w:tcPr>
          <w:p w14:paraId="5CDCA8E7"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$54.65</w:t>
            </w:r>
          </w:p>
        </w:tc>
        <w:tc>
          <w:tcPr>
            <w:tcW w:w="953" w:type="dxa"/>
          </w:tcPr>
          <w:p w14:paraId="1848A047"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$80.12</w:t>
            </w:r>
          </w:p>
        </w:tc>
        <w:tc>
          <w:tcPr>
            <w:tcW w:w="1984" w:type="dxa"/>
          </w:tcPr>
          <w:p w14:paraId="35398F06"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46.6%</w:t>
            </w:r>
          </w:p>
        </w:tc>
        <w:tc>
          <w:tcPr>
            <w:tcW w:w="1169" w:type="dxa"/>
          </w:tcPr>
          <w:p w14:paraId="7C309ABD"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63%</w:t>
            </w:r>
          </w:p>
        </w:tc>
        <w:tc>
          <w:tcPr>
            <w:tcW w:w="1460" w:type="dxa"/>
          </w:tcPr>
          <w:p w14:paraId="6FAD4263"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9F5101">
              <w:rPr>
                <w:rFonts w:ascii="Arial" w:hAnsi="Arial" w:cs="Arial"/>
                <w:sz w:val="16"/>
                <w:szCs w:val="16"/>
                <w:lang w:eastAsia="ja-JP"/>
              </w:rPr>
              <w:t>68</w:t>
            </w:r>
            <w:r w:rsidRPr="00405D6A">
              <w:rPr>
                <w:rFonts w:ascii="Arial" w:eastAsia="MS PGothic" w:hAnsi="Arial" w:cs="Arial"/>
                <w:sz w:val="16"/>
                <w:szCs w:val="24"/>
                <w:lang w:eastAsia="ja-JP"/>
              </w:rPr>
              <w:t>%</w:t>
            </w:r>
          </w:p>
        </w:tc>
        <w:tc>
          <w:tcPr>
            <w:tcW w:w="1519" w:type="dxa"/>
          </w:tcPr>
          <w:p w14:paraId="64D8C85F"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Pr>
                <w:rFonts w:ascii="Arial" w:eastAsia="MS PGothic" w:hAnsi="Arial" w:cs="Arial"/>
                <w:sz w:val="16"/>
                <w:szCs w:val="24"/>
                <w:lang w:eastAsia="ja-JP"/>
              </w:rPr>
              <w:t>5</w:t>
            </w:r>
            <w:r w:rsidRPr="00405D6A">
              <w:rPr>
                <w:rFonts w:ascii="Arial" w:eastAsia="MS PGothic" w:hAnsi="Arial" w:cs="Arial"/>
                <w:sz w:val="16"/>
                <w:szCs w:val="24"/>
                <w:lang w:eastAsia="ja-JP"/>
              </w:rPr>
              <w:t>%</w:t>
            </w:r>
          </w:p>
        </w:tc>
      </w:tr>
      <w:tr w:rsidR="00804DDC" w:rsidRPr="00405D6A" w14:paraId="1250193F" w14:textId="77777777" w:rsidTr="00804DDC">
        <w:trPr>
          <w:cnfStyle w:val="000000100000" w:firstRow="0" w:lastRow="0" w:firstColumn="0" w:lastColumn="0" w:oddVBand="0" w:evenVBand="0" w:oddHBand="1" w:evenHBand="0" w:firstRowFirstColumn="0" w:firstRowLastColumn="0" w:lastRowFirstColumn="0" w:lastRowLastColumn="0"/>
          <w:trHeight w:val="222"/>
        </w:trPr>
        <w:tc>
          <w:tcPr>
            <w:tcW w:w="1514" w:type="dxa"/>
            <w:shd w:val="clear" w:color="auto" w:fill="EFE5EF" w:themeFill="text2" w:themeFillTint="33"/>
          </w:tcPr>
          <w:p w14:paraId="703C98E0" w14:textId="77777777" w:rsidR="00804DDC" w:rsidRPr="00405D6A" w:rsidRDefault="00804DDC" w:rsidP="00804DDC">
            <w:pPr>
              <w:keepNext/>
              <w:spacing w:after="40" w:line="240" w:lineRule="auto"/>
              <w:rPr>
                <w:rFonts w:ascii="Arial" w:eastAsia="MS PGothic" w:hAnsi="Arial" w:cs="Arial"/>
                <w:sz w:val="16"/>
                <w:szCs w:val="24"/>
                <w:lang w:eastAsia="ja-JP"/>
              </w:rPr>
            </w:pPr>
            <w:r w:rsidRPr="00405D6A">
              <w:rPr>
                <w:rFonts w:ascii="Arial" w:eastAsia="MS PGothic" w:hAnsi="Arial" w:cs="Arial"/>
                <w:sz w:val="16"/>
                <w:szCs w:val="24"/>
                <w:lang w:eastAsia="ja-JP"/>
              </w:rPr>
              <w:t>MMM 7</w:t>
            </w:r>
          </w:p>
        </w:tc>
        <w:tc>
          <w:tcPr>
            <w:tcW w:w="1214" w:type="dxa"/>
            <w:shd w:val="clear" w:color="auto" w:fill="EFE5EF" w:themeFill="text2" w:themeFillTint="33"/>
          </w:tcPr>
          <w:p w14:paraId="5FC1B964"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$56.93</w:t>
            </w:r>
          </w:p>
        </w:tc>
        <w:tc>
          <w:tcPr>
            <w:tcW w:w="953" w:type="dxa"/>
            <w:shd w:val="clear" w:color="auto" w:fill="EFE5EF" w:themeFill="text2" w:themeFillTint="33"/>
          </w:tcPr>
          <w:p w14:paraId="25F22073"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$85.85</w:t>
            </w:r>
          </w:p>
        </w:tc>
        <w:tc>
          <w:tcPr>
            <w:tcW w:w="1984" w:type="dxa"/>
            <w:shd w:val="clear" w:color="auto" w:fill="EFE5EF" w:themeFill="text2" w:themeFillTint="33"/>
          </w:tcPr>
          <w:p w14:paraId="54D39D90"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50.8%</w:t>
            </w:r>
          </w:p>
        </w:tc>
        <w:tc>
          <w:tcPr>
            <w:tcW w:w="1169" w:type="dxa"/>
            <w:shd w:val="clear" w:color="auto" w:fill="EFE5EF" w:themeFill="text2" w:themeFillTint="33"/>
          </w:tcPr>
          <w:p w14:paraId="55508995"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405D6A">
              <w:rPr>
                <w:rFonts w:ascii="Arial" w:eastAsia="MS PGothic" w:hAnsi="Arial" w:cs="Arial"/>
                <w:sz w:val="16"/>
                <w:szCs w:val="24"/>
                <w:lang w:eastAsia="ja-JP"/>
              </w:rPr>
              <w:t>39%</w:t>
            </w:r>
          </w:p>
        </w:tc>
        <w:tc>
          <w:tcPr>
            <w:tcW w:w="1460" w:type="dxa"/>
            <w:shd w:val="clear" w:color="auto" w:fill="EFE5EF" w:themeFill="text2" w:themeFillTint="33"/>
          </w:tcPr>
          <w:p w14:paraId="0DBB0507"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sidRPr="009F5101">
              <w:rPr>
                <w:rFonts w:ascii="Arial" w:hAnsi="Arial" w:cs="Arial"/>
                <w:sz w:val="16"/>
                <w:szCs w:val="16"/>
                <w:lang w:eastAsia="ja-JP"/>
              </w:rPr>
              <w:t>52</w:t>
            </w:r>
            <w:r w:rsidRPr="00405D6A">
              <w:rPr>
                <w:rFonts w:ascii="Arial" w:eastAsia="MS PGothic" w:hAnsi="Arial" w:cs="Arial"/>
                <w:sz w:val="16"/>
                <w:szCs w:val="24"/>
                <w:lang w:eastAsia="ja-JP"/>
              </w:rPr>
              <w:t>%</w:t>
            </w:r>
          </w:p>
        </w:tc>
        <w:tc>
          <w:tcPr>
            <w:tcW w:w="1519" w:type="dxa"/>
            <w:shd w:val="clear" w:color="auto" w:fill="EFE5EF" w:themeFill="text2" w:themeFillTint="33"/>
          </w:tcPr>
          <w:p w14:paraId="5ABCA699" w14:textId="77777777" w:rsidR="00804DDC" w:rsidRPr="00405D6A" w:rsidRDefault="00804DDC" w:rsidP="00804DDC">
            <w:pPr>
              <w:keepNext/>
              <w:spacing w:after="40" w:line="240" w:lineRule="auto"/>
              <w:jc w:val="center"/>
              <w:rPr>
                <w:rFonts w:ascii="Arial" w:eastAsia="MS PGothic" w:hAnsi="Arial" w:cs="Arial"/>
                <w:sz w:val="16"/>
                <w:szCs w:val="24"/>
                <w:lang w:eastAsia="ja-JP"/>
              </w:rPr>
            </w:pPr>
            <w:r>
              <w:rPr>
                <w:rFonts w:ascii="Arial" w:eastAsia="MS PGothic" w:hAnsi="Arial" w:cs="Arial"/>
                <w:sz w:val="16"/>
                <w:szCs w:val="24"/>
                <w:lang w:eastAsia="ja-JP"/>
              </w:rPr>
              <w:t>13</w:t>
            </w:r>
            <w:r w:rsidRPr="00405D6A">
              <w:rPr>
                <w:rFonts w:ascii="Arial" w:eastAsia="MS PGothic" w:hAnsi="Arial" w:cs="Arial"/>
                <w:sz w:val="16"/>
                <w:szCs w:val="24"/>
                <w:lang w:eastAsia="ja-JP"/>
              </w:rPr>
              <w:t>%</w:t>
            </w:r>
          </w:p>
        </w:tc>
      </w:tr>
    </w:tbl>
    <w:p w14:paraId="569C4306" w14:textId="77777777" w:rsidR="00804DDC" w:rsidRDefault="00804DDC" w:rsidP="00804DDC">
      <w:pPr>
        <w:pStyle w:val="Heading4"/>
      </w:pPr>
      <w:r>
        <w:t>… but market gaps persist in remote and very remote communities</w:t>
      </w:r>
    </w:p>
    <w:p w14:paraId="43C41D63" w14:textId="77777777" w:rsidR="00804DDC" w:rsidRDefault="00804DDC" w:rsidP="00804DDC">
      <w:r>
        <w:t xml:space="preserve">Applying a market-based approach to deliver high quality supports to, and outcomes for, NDIS participants in remote and very remote communities is not working. </w:t>
      </w:r>
    </w:p>
    <w:p w14:paraId="55A8417F" w14:textId="77777777" w:rsidR="00804DDC" w:rsidRDefault="00804DDC" w:rsidP="00804DDC">
      <w:r>
        <w:t>Persistent market gaps remain through many remote and very remote communities. In December 2022, recorded market gaps were around 14% for remote participants and 27% for very remote participants. This means that utilisation of supports by remote and very remote participants is 14% and 27% lower compared with median utilisation rate for participants in the scheme for over two years receiving face-to-face supports from registered providers.</w:t>
      </w:r>
      <w:r w:rsidRPr="00557D88">
        <w:rPr>
          <w:rStyle w:val="EndnoteReference"/>
        </w:rPr>
        <w:t xml:space="preserve"> </w:t>
      </w:r>
      <w:r>
        <w:rPr>
          <w:rStyle w:val="EndnoteReference"/>
        </w:rPr>
        <w:endnoteReference w:id="44"/>
      </w:r>
    </w:p>
    <w:p w14:paraId="32E57982" w14:textId="77777777" w:rsidR="00804DDC" w:rsidRDefault="00804DDC" w:rsidP="00804DDC">
      <w:r>
        <w:t>These averages also conceal the severity of market gaps across remote Australia, with a number of locations experiencing market gaps of over 40% in 2022 (</w:t>
      </w:r>
      <w:r>
        <w:fldChar w:fldCharType="begin"/>
      </w:r>
      <w:r>
        <w:instrText xml:space="preserve"> REF _Ref130804081 \h </w:instrText>
      </w:r>
      <w:r>
        <w:fldChar w:fldCharType="separate"/>
      </w:r>
      <w:r>
        <w:t xml:space="preserve">Figure </w:t>
      </w:r>
      <w:r>
        <w:rPr>
          <w:noProof/>
        </w:rPr>
        <w:t>12</w:t>
      </w:r>
      <w:r>
        <w:fldChar w:fldCharType="end"/>
      </w:r>
      <w:r>
        <w:t xml:space="preserve">). </w:t>
      </w:r>
    </w:p>
    <w:p w14:paraId="287337EF" w14:textId="77777777" w:rsidR="00804DDC" w:rsidRDefault="00804DDC" w:rsidP="00804DDC">
      <w:r>
        <w:t>In remote and very remote areas, the severity of market gaps may mean some participants could be trading off their ability to remain in their community against their access to supports. Often there is a greater need for local, culturally safe supports to be delivered to First Nations participants in remote areas, but First Nations organisations can be reluctant to become NDIS providers due to the regulatory impost and reputational risks involved.</w:t>
      </w:r>
    </w:p>
    <w:p w14:paraId="67359F24" w14:textId="77777777" w:rsidR="00804DDC" w:rsidRDefault="00804DDC" w:rsidP="00804DDC">
      <w:pPr>
        <w:pStyle w:val="Quote"/>
      </w:pPr>
      <w:r>
        <w:t>“</w:t>
      </w:r>
      <w:r w:rsidRPr="00BC63AC">
        <w:t xml:space="preserve">Many </w:t>
      </w:r>
      <w:r>
        <w:t>[First Nations]</w:t>
      </w:r>
      <w:r w:rsidRPr="00BC63AC">
        <w:t xml:space="preserve"> people were born in remote communities and due to their high level support needs had no other option but to relocate to urban areas to access essential supports.</w:t>
      </w:r>
      <w:r>
        <w:t xml:space="preserve">” </w:t>
      </w:r>
    </w:p>
    <w:p w14:paraId="0F2727AF" w14:textId="61A44CAD" w:rsidR="00033257" w:rsidRDefault="00804DDC" w:rsidP="00804DDC">
      <w:pPr>
        <w:pStyle w:val="Quote"/>
      </w:pPr>
      <w:r>
        <w:t>– Somerville Community Services</w:t>
      </w:r>
      <w:r>
        <w:rPr>
          <w:rStyle w:val="EndnoteReference"/>
        </w:rPr>
        <w:endnoteReference w:id="45"/>
      </w:r>
    </w:p>
    <w:p w14:paraId="771E824E" w14:textId="77777777" w:rsidR="00033257" w:rsidRDefault="00033257">
      <w:pPr>
        <w:spacing w:after="200" w:line="288" w:lineRule="auto"/>
        <w:rPr>
          <w:i/>
          <w:iCs/>
          <w:color w:val="092B57" w:themeColor="text1"/>
        </w:rPr>
      </w:pPr>
      <w:r>
        <w:br w:type="page"/>
      </w:r>
    </w:p>
    <w:p w14:paraId="66C7B2AC" w14:textId="39C63965" w:rsidR="00804DDC" w:rsidRDefault="00804DDC" w:rsidP="00804DDC">
      <w:pPr>
        <w:pStyle w:val="Figure"/>
        <w:ind w:left="1134" w:hanging="1134"/>
      </w:pPr>
      <w:r w:rsidRPr="001E3FA2">
        <w:lastRenderedPageBreak/>
        <w:t>Remote and very remote Australia have greater share, severity and persistence in NDIS market gaps</w:t>
      </w:r>
      <w:r>
        <w:rPr>
          <w:rStyle w:val="EndnoteReference"/>
        </w:rPr>
        <w:endnoteReference w:id="46"/>
      </w:r>
    </w:p>
    <w:p w14:paraId="04949AFB" w14:textId="4CE6B3F7" w:rsidR="00804DDC" w:rsidRDefault="00804DDC" w:rsidP="00804DDC">
      <w:r w:rsidRPr="00B5044D">
        <w:rPr>
          <w:noProof/>
          <w:lang w:eastAsia="en-AU"/>
        </w:rPr>
        <w:drawing>
          <wp:inline distT="0" distB="0" distL="0" distR="0" wp14:anchorId="1773C919" wp14:editId="460A4AA9">
            <wp:extent cx="5438775" cy="3002280"/>
            <wp:effectExtent l="0" t="0" r="9525" b="7620"/>
            <wp:docPr id="20" name="Picture 20" descr="A map of Australia showing areas representing the severity of market gaps in different regions. Melbourne and Sydney are magnified to show the colour representation of particular suburbs, however both have largely no or mild gaps. Areas with the most severe market gaps lie in remote and very remot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245" b="26073"/>
                    <a:stretch/>
                  </pic:blipFill>
                  <pic:spPr bwMode="auto">
                    <a:xfrm>
                      <a:off x="0" y="0"/>
                      <a:ext cx="5449217" cy="3008044"/>
                    </a:xfrm>
                    <a:prstGeom prst="rect">
                      <a:avLst/>
                    </a:prstGeom>
                    <a:ln>
                      <a:noFill/>
                    </a:ln>
                    <a:extLst>
                      <a:ext uri="{53640926-AAD7-44D8-BBD7-CCE9431645EC}">
                        <a14:shadowObscured xmlns:a14="http://schemas.microsoft.com/office/drawing/2010/main"/>
                      </a:ext>
                    </a:extLst>
                  </pic:spPr>
                </pic:pic>
              </a:graphicData>
            </a:graphic>
          </wp:inline>
        </w:drawing>
      </w:r>
    </w:p>
    <w:p w14:paraId="0288BBD6" w14:textId="77777777" w:rsidR="00804DDC" w:rsidRPr="00804DDC" w:rsidRDefault="00804DDC" w:rsidP="00804DDC">
      <w:pPr>
        <w:pStyle w:val="00-Bodytable"/>
        <w:rPr>
          <w:i/>
        </w:rPr>
      </w:pPr>
      <w:r w:rsidRPr="00804DDC">
        <w:rPr>
          <w:i/>
        </w:rPr>
        <w:t xml:space="preserve">Notes: </w:t>
      </w:r>
    </w:p>
    <w:p w14:paraId="529AB1BF" w14:textId="77777777" w:rsidR="00804DDC" w:rsidRPr="00804DDC" w:rsidRDefault="00804DDC" w:rsidP="00C93980">
      <w:pPr>
        <w:pStyle w:val="00-Bodytable"/>
        <w:numPr>
          <w:ilvl w:val="0"/>
          <w:numId w:val="12"/>
        </w:numPr>
        <w:rPr>
          <w:i/>
        </w:rPr>
      </w:pPr>
      <w:r w:rsidRPr="00804DDC">
        <w:rPr>
          <w:i/>
        </w:rPr>
        <w:t>Market gaps were calculated for participants in the scheme for two or more years. Utilisation rates were compared for participants residing in each postcode with the national median plan utilisation.</w:t>
      </w:r>
    </w:p>
    <w:p w14:paraId="13A1BE4A" w14:textId="77777777" w:rsidR="00804DDC" w:rsidRPr="00804DDC" w:rsidRDefault="00804DDC" w:rsidP="00C93980">
      <w:pPr>
        <w:pStyle w:val="00-Bodytable"/>
        <w:numPr>
          <w:ilvl w:val="0"/>
          <w:numId w:val="12"/>
        </w:numPr>
        <w:rPr>
          <w:i/>
        </w:rPr>
      </w:pPr>
      <w:r w:rsidRPr="00804DDC">
        <w:rPr>
          <w:i/>
        </w:rPr>
        <w:t>Postcodes were used to calculate market gaps rather than larger Local Government Areas (LGAs) since LGAs can span multiple remoteness categories.</w:t>
      </w:r>
    </w:p>
    <w:p w14:paraId="3F0DD574" w14:textId="77777777" w:rsidR="00804DDC" w:rsidRPr="00804DDC" w:rsidRDefault="00804DDC" w:rsidP="00C93980">
      <w:pPr>
        <w:pStyle w:val="00-Bodytable"/>
        <w:numPr>
          <w:ilvl w:val="0"/>
          <w:numId w:val="12"/>
        </w:numPr>
        <w:rPr>
          <w:i/>
        </w:rPr>
      </w:pPr>
      <w:r w:rsidRPr="00804DDC">
        <w:rPr>
          <w:i/>
        </w:rPr>
        <w:t>Pop-out maps showing the greater Sydney and Melbourne areas are provided as examples of market gaps in major cities.</w:t>
      </w:r>
    </w:p>
    <w:p w14:paraId="3CDE83A4" w14:textId="52FA35C8" w:rsidR="00804DDC" w:rsidRPr="001C55CA" w:rsidRDefault="00804DDC" w:rsidP="001C55CA">
      <w:pPr>
        <w:pStyle w:val="00-Bodytable"/>
        <w:numPr>
          <w:ilvl w:val="0"/>
          <w:numId w:val="12"/>
        </w:numPr>
        <w:spacing w:after="360"/>
        <w:ind w:left="714" w:hanging="357"/>
        <w:rPr>
          <w:i/>
        </w:rPr>
      </w:pPr>
      <w:r w:rsidRPr="00804DDC">
        <w:rPr>
          <w:i/>
        </w:rPr>
        <w:t>This data is at 31 December 2022 and excludes in-kind supports.</w:t>
      </w:r>
    </w:p>
    <w:p w14:paraId="7409F4C8" w14:textId="6198C586" w:rsidR="00804DDC" w:rsidRDefault="00804DDC" w:rsidP="00804DDC">
      <w:r>
        <w:t>Even where participants are getting services, many of these services rely heavily on FIFO and DIDO arrangements rather than local, on-the-ground solutions.</w:t>
      </w:r>
    </w:p>
    <w:p w14:paraId="3D00997D" w14:textId="77777777" w:rsidR="00804DDC" w:rsidRDefault="00804DDC" w:rsidP="00804DDC">
      <w:pPr>
        <w:pStyle w:val="Quote"/>
      </w:pPr>
      <w:r>
        <w:t>…there is a reliance on fly-in fly-out (FIFO) and drive-in drive out (DIDO) arrangements to provide services in these communities. This is very expensive, represents little value for money, and may also not be the best for the participants.</w:t>
      </w:r>
    </w:p>
    <w:p w14:paraId="5B0D1B90" w14:textId="77777777" w:rsidR="00804DDC" w:rsidRDefault="00804DDC" w:rsidP="00804DDC">
      <w:pPr>
        <w:pStyle w:val="Quote"/>
      </w:pPr>
      <w:r>
        <w:t>– NACCHO 2021</w:t>
      </w:r>
      <w:r>
        <w:rPr>
          <w:rStyle w:val="EndnoteReference"/>
        </w:rPr>
        <w:endnoteReference w:id="47"/>
      </w:r>
    </w:p>
    <w:p w14:paraId="20E74446" w14:textId="2E51D4CA" w:rsidR="00804DDC" w:rsidRDefault="00804DDC" w:rsidP="00804DDC">
      <w:r>
        <w:t>Where they are concerned about the safety and quality of available services (including cultural safety), participants often have little recourse to find safer or better quality services due to low market competition within these communities (</w:t>
      </w:r>
      <w:r>
        <w:fldChar w:fldCharType="begin"/>
      </w:r>
      <w:r>
        <w:instrText xml:space="preserve"> REF _Ref125356644 \h  \* MERGEFORMAT </w:instrText>
      </w:r>
      <w:r>
        <w:fldChar w:fldCharType="separate"/>
      </w:r>
      <w:r>
        <w:t xml:space="preserve">Figure </w:t>
      </w:r>
      <w:r>
        <w:rPr>
          <w:noProof/>
        </w:rPr>
        <w:t>13</w:t>
      </w:r>
      <w:r>
        <w:fldChar w:fldCharType="end"/>
      </w:r>
      <w:r>
        <w:t>).</w:t>
      </w:r>
      <w:bookmarkStart w:id="79" w:name="_Ref124240796"/>
    </w:p>
    <w:p w14:paraId="6332E68D" w14:textId="77777777" w:rsidR="00804DDC" w:rsidRDefault="00804DDC" w:rsidP="00804DDC">
      <w:r>
        <w:lastRenderedPageBreak/>
        <w:t>Moving to place-based and community-driven alternative commissioning approaches can offer opportunities to create more holistic and sustainable, local services and create sustainable jobs in remote communities.</w:t>
      </w:r>
      <w:r w:rsidDel="00963AC5">
        <w:t xml:space="preserve"> </w:t>
      </w:r>
      <w:bookmarkEnd w:id="79"/>
    </w:p>
    <w:p w14:paraId="32C3A71C" w14:textId="1CD27701" w:rsidR="00804DDC" w:rsidRDefault="00804DDC" w:rsidP="00804DDC">
      <w:pPr>
        <w:pStyle w:val="Figure"/>
        <w:ind w:left="1134" w:hanging="1134"/>
      </w:pPr>
      <w:bookmarkStart w:id="80" w:name="fig13"/>
      <w:r w:rsidRPr="00F77FE3">
        <w:t>In remote communities,</w:t>
      </w:r>
      <w:r>
        <w:t xml:space="preserve"> </w:t>
      </w:r>
      <w:r w:rsidRPr="006B1323">
        <w:t xml:space="preserve">the </w:t>
      </w:r>
      <w:r w:rsidRPr="00B8490A">
        <w:t xml:space="preserve">NDIS market </w:t>
      </w:r>
      <w:r>
        <w:t>for core supports is 7 to 10 times more concentrated, and 7.5 to 15 times more concentrated for capacity building supports compared to non-remote areas</w:t>
      </w:r>
      <w:r>
        <w:rPr>
          <w:rStyle w:val="EndnoteReference"/>
        </w:rPr>
        <w:endnoteReference w:id="48"/>
      </w:r>
    </w:p>
    <w:bookmarkEnd w:id="80"/>
    <w:p w14:paraId="4992E70B" w14:textId="7AD506BE" w:rsidR="00804DDC" w:rsidRDefault="00804DDC" w:rsidP="00804DDC">
      <w:r>
        <w:rPr>
          <w:noProof/>
          <w:lang w:eastAsia="en-AU"/>
        </w:rPr>
        <w:drawing>
          <wp:inline distT="0" distB="0" distL="0" distR="0" wp14:anchorId="5970ACB2" wp14:editId="7FA50745">
            <wp:extent cx="6115050" cy="3514328"/>
            <wp:effectExtent l="0" t="0" r="0" b="0"/>
            <wp:docPr id="39" name="Picture 39" descr="Figure 13.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Figure 13.png"/>
                    <pic:cNvPicPr/>
                  </pic:nvPicPr>
                  <pic:blipFill>
                    <a:blip r:embed="rId35">
                      <a:extLst>
                        <a:ext uri="{28A0092B-C50C-407E-A947-70E740481C1C}">
                          <a14:useLocalDpi xmlns:a14="http://schemas.microsoft.com/office/drawing/2010/main" val="0"/>
                        </a:ext>
                      </a:extLst>
                    </a:blip>
                    <a:stretch>
                      <a:fillRect/>
                    </a:stretch>
                  </pic:blipFill>
                  <pic:spPr>
                    <a:xfrm>
                      <a:off x="0" y="0"/>
                      <a:ext cx="6130663" cy="3523301"/>
                    </a:xfrm>
                    <a:prstGeom prst="rect">
                      <a:avLst/>
                    </a:prstGeom>
                  </pic:spPr>
                </pic:pic>
              </a:graphicData>
            </a:graphic>
          </wp:inline>
        </w:drawing>
      </w:r>
    </w:p>
    <w:p w14:paraId="7935789A" w14:textId="77777777" w:rsidR="00804DDC" w:rsidRPr="00804DDC" w:rsidRDefault="00804DDC" w:rsidP="00804DDC">
      <w:pPr>
        <w:pStyle w:val="00-Bodytable"/>
        <w:rPr>
          <w:i/>
        </w:rPr>
      </w:pPr>
      <w:r w:rsidRPr="00804DDC">
        <w:rPr>
          <w:i/>
        </w:rPr>
        <w:t xml:space="preserve">Note: Market concentration by remoteness is calculated using the Herfindahl-Hirschman Index (HHI), and is based on registered and unregistered providers paid during 1 January to 30 September 2022. Visibility of unregistered providers depends on capture of Australian Business Numbers (ABNs) by plan managers. It excludes claims for self-managed supports. </w:t>
      </w:r>
    </w:p>
    <w:p w14:paraId="12460C2E" w14:textId="78C01FFC" w:rsidR="00804DDC" w:rsidRDefault="00050BFB" w:rsidP="00804DDC">
      <w:hyperlink w:anchor="_Figure_13_-" w:history="1">
        <w:r w:rsidR="007932D8" w:rsidRPr="007932D8">
          <w:rPr>
            <w:rStyle w:val="Hyperlink"/>
            <w:rFonts w:asciiTheme="minorHAnsi" w:hAnsiTheme="minorHAnsi"/>
          </w:rPr>
          <w:t>Figure 13 text description</w:t>
        </w:r>
      </w:hyperlink>
    </w:p>
    <w:p w14:paraId="3BDB0D81" w14:textId="77777777" w:rsidR="00804DDC" w:rsidRDefault="00804DDC" w:rsidP="00804DDC">
      <w:pPr>
        <w:pStyle w:val="Heading3"/>
      </w:pPr>
      <w:r>
        <w:t xml:space="preserve">Alternative commissioning can lower demand risk and costs for </w:t>
      </w:r>
      <w:r w:rsidRPr="00804DDC">
        <w:t>communities</w:t>
      </w:r>
    </w:p>
    <w:p w14:paraId="5DA1E36E" w14:textId="77777777" w:rsidR="00804DDC" w:rsidRDefault="00804DDC" w:rsidP="00804DDC">
      <w:r>
        <w:t xml:space="preserve">In failing to deliver safe, quality and timely supports and outcomes for participants in remote communities and in First Nations communities, the current market-based model also drive poor outcomes and upward pressures on the long term costs of the NDIS for these participants. </w:t>
      </w:r>
    </w:p>
    <w:p w14:paraId="269EDD70" w14:textId="77777777" w:rsidR="00804DDC" w:rsidRDefault="00804DDC" w:rsidP="00804DDC">
      <w:r>
        <w:t xml:space="preserve">Failing to deliver participant outcomes in these communities also puts pressure on the entire care and support ecosystem. A lack of timely supports may lead to increased </w:t>
      </w:r>
      <w:r>
        <w:lastRenderedPageBreak/>
        <w:t xml:space="preserve">hospitalisation rates or lengthier hospital stays, which in turn increases pressure on the primary healthcare system. </w:t>
      </w:r>
    </w:p>
    <w:p w14:paraId="37A1C96F" w14:textId="77777777" w:rsidR="00804DDC" w:rsidRPr="005F0476" w:rsidRDefault="00804DDC" w:rsidP="00804DDC">
      <w:r>
        <w:t>Alternative commissioning</w:t>
      </w:r>
      <w:r w:rsidRPr="005F0476">
        <w:t xml:space="preserve"> approaches provide opportunity to:</w:t>
      </w:r>
    </w:p>
    <w:p w14:paraId="54B9868F" w14:textId="77777777" w:rsidR="00804DDC" w:rsidRDefault="00804DDC" w:rsidP="00804DDC">
      <w:pPr>
        <w:pStyle w:val="Listbullets-Level1"/>
        <w:rPr>
          <w:b/>
        </w:rPr>
      </w:pPr>
      <w:r>
        <w:t xml:space="preserve">Lower the cost of service delivery by offering service providers </w:t>
      </w:r>
      <w:r w:rsidRPr="00F149DA">
        <w:t>greater certainty of demand</w:t>
      </w:r>
      <w:r>
        <w:t xml:space="preserve"> to </w:t>
      </w:r>
      <w:r w:rsidRPr="00F149DA">
        <w:t>invest in more effe</w:t>
      </w:r>
      <w:r>
        <w:t>ctive service deliver</w:t>
      </w:r>
      <w:r w:rsidRPr="00977442">
        <w:t>y models</w:t>
      </w:r>
      <w:r>
        <w:t xml:space="preserve"> – this includes models that </w:t>
      </w:r>
      <w:r w:rsidRPr="00804DDC">
        <w:rPr>
          <w:b/>
        </w:rPr>
        <w:t>better coordinate and target investment in building and maintaining community infrastructure</w:t>
      </w:r>
      <w:r>
        <w:t>. Existing initiatives (</w:t>
      </w:r>
      <w:r w:rsidRPr="00AF296D">
        <w:t>including those by non-profit organisa</w:t>
      </w:r>
      <w:r>
        <w:t>tions,</w:t>
      </w:r>
      <w:r w:rsidRPr="00AF296D">
        <w:t xml:space="preserve"> local, state or territory and Commonwealth gover</w:t>
      </w:r>
      <w:r>
        <w:t>nments)</w:t>
      </w:r>
      <w:r w:rsidRPr="00AF296D">
        <w:t xml:space="preserve"> can be leveraged and built upon, while new initiatives could be better targeted where need is most pressing.</w:t>
      </w:r>
      <w:r>
        <w:t xml:space="preserve"> M</w:t>
      </w:r>
      <w:r w:rsidRPr="00F149DA">
        <w:t>ore effe</w:t>
      </w:r>
      <w:r>
        <w:t>ctive service deliver</w:t>
      </w:r>
      <w:r w:rsidRPr="003A62A8">
        <w:t>y models</w:t>
      </w:r>
      <w:r>
        <w:t xml:space="preserve"> could also </w:t>
      </w:r>
      <w:r w:rsidRPr="00804DDC">
        <w:rPr>
          <w:b/>
        </w:rPr>
        <w:t>strengthen investment in local workforce</w:t>
      </w:r>
      <w:r>
        <w:t xml:space="preserve"> and rely less on </w:t>
      </w:r>
      <w:r w:rsidRPr="00F149DA">
        <w:t>costly and ineffective FIFO and DIDO models</w:t>
      </w:r>
      <w:r>
        <w:t xml:space="preserve">. </w:t>
      </w:r>
    </w:p>
    <w:p w14:paraId="6C6BF09E" w14:textId="77777777" w:rsidR="00804DDC" w:rsidRDefault="00804DDC" w:rsidP="00804DDC">
      <w:pPr>
        <w:pStyle w:val="Listbullets-Level1"/>
        <w:rPr>
          <w:b/>
        </w:rPr>
      </w:pPr>
      <w:r w:rsidRPr="002D399C">
        <w:t xml:space="preserve">Improve </w:t>
      </w:r>
      <w:r>
        <w:t xml:space="preserve">health and wellbeing </w:t>
      </w:r>
      <w:r w:rsidRPr="002D399C">
        <w:t xml:space="preserve">outcomes for </w:t>
      </w:r>
      <w:r>
        <w:t xml:space="preserve">both </w:t>
      </w:r>
      <w:r w:rsidRPr="002D399C">
        <w:t xml:space="preserve">First Nations and remote communities </w:t>
      </w:r>
      <w:r w:rsidRPr="00804DDC">
        <w:rPr>
          <w:b/>
        </w:rPr>
        <w:t>using a more holistic, lifetime-based approach</w:t>
      </w:r>
      <w:r w:rsidRPr="002D399C">
        <w:t xml:space="preserve"> – for example, the FNQ Connect (Case Study 2) noted ‘Improving integration of care and support will improve quality of life and health outcomes which will lead to a reduction in potentially preventable hospitalisations (PPH) and reduced pressure on the hospital sector over the medium</w:t>
      </w:r>
      <w:r w:rsidRPr="002D399C">
        <w:noBreakHyphen/>
        <w:t>to</w:t>
      </w:r>
      <w:r w:rsidRPr="002D399C">
        <w:noBreakHyphen/>
        <w:t xml:space="preserve">long term’. </w:t>
      </w:r>
    </w:p>
    <w:p w14:paraId="71E02F26" w14:textId="77777777" w:rsidR="00804DDC" w:rsidRDefault="00804DDC" w:rsidP="00D64D30">
      <w:r w:rsidRPr="002D399C">
        <w:t xml:space="preserve">As outlined in the Closing the Gap </w:t>
      </w:r>
      <w:r>
        <w:t xml:space="preserve">National </w:t>
      </w:r>
      <w:r w:rsidRPr="002D399C">
        <w:t xml:space="preserve">Agreement, better life outcomes are </w:t>
      </w:r>
      <w:r>
        <w:t xml:space="preserve">also </w:t>
      </w:r>
      <w:r w:rsidRPr="002D399C">
        <w:t xml:space="preserve">achieved when First Nations people have a genuine say in the </w:t>
      </w:r>
      <w:r>
        <w:t xml:space="preserve">how </w:t>
      </w:r>
      <w:r w:rsidRPr="002D399C">
        <w:t xml:space="preserve">services </w:t>
      </w:r>
      <w:r>
        <w:t>are designed and delivered</w:t>
      </w:r>
      <w:r w:rsidRPr="002D399C">
        <w:t>.</w:t>
      </w:r>
    </w:p>
    <w:p w14:paraId="37197AF6" w14:textId="2F485EB5" w:rsidR="00804DDC" w:rsidRPr="00FE2C7F" w:rsidRDefault="00804DDC" w:rsidP="00033257">
      <w:pPr>
        <w:pStyle w:val="B5-Heading3"/>
      </w:pPr>
      <w:r w:rsidRPr="00033257">
        <w:t>Finding 2</w:t>
      </w:r>
      <w:r w:rsidR="00033257">
        <w:t xml:space="preserve"> </w:t>
      </w:r>
      <w:r w:rsidRPr="00033257">
        <w:rPr>
          <w:b/>
          <w:i w:val="0"/>
        </w:rPr>
        <w:t>Alternative commissioning approaches for both First Nations and remote communities</w:t>
      </w:r>
    </w:p>
    <w:p w14:paraId="678F1139" w14:textId="77777777" w:rsidR="00804DDC" w:rsidRDefault="00804DDC" w:rsidP="00804DDC">
      <w:pPr>
        <w:pStyle w:val="B5-Body"/>
      </w:pPr>
      <w:r w:rsidRPr="00255F37">
        <w:t xml:space="preserve">While increases </w:t>
      </w:r>
      <w:r w:rsidRPr="00F856BB">
        <w:t>in remote</w:t>
      </w:r>
      <w:r>
        <w:t xml:space="preserve"> and very remote</w:t>
      </w:r>
      <w:r w:rsidRPr="00F856BB">
        <w:t xml:space="preserve"> price loadings and</w:t>
      </w:r>
      <w:r>
        <w:t xml:space="preserve"> more </w:t>
      </w:r>
      <w:r w:rsidRPr="00296B5F">
        <w:t>flexible pricing arrangements</w:t>
      </w:r>
      <w:r>
        <w:t xml:space="preserve"> (to cover telehealth) have</w:t>
      </w:r>
      <w:r w:rsidRPr="00F856BB">
        <w:t xml:space="preserve"> addressed some challenges</w:t>
      </w:r>
      <w:r>
        <w:t xml:space="preserve"> in these areas,</w:t>
      </w:r>
      <w:r w:rsidRPr="00F856BB">
        <w:t xml:space="preserve"> </w:t>
      </w:r>
      <w:r>
        <w:t>persistent</w:t>
      </w:r>
      <w:r w:rsidRPr="00F856BB">
        <w:t xml:space="preserve"> market gaps remain</w:t>
      </w:r>
      <w:r>
        <w:t xml:space="preserve">. </w:t>
      </w:r>
      <w:r w:rsidRPr="00321910">
        <w:t>Addressing market gaps for remote communit</w:t>
      </w:r>
      <w:r>
        <w:t>ies and First Nations community-</w:t>
      </w:r>
      <w:r w:rsidRPr="00321910">
        <w:t xml:space="preserve">controlled organisations </w:t>
      </w:r>
      <w:r>
        <w:t>will require a different market approach that can better co</w:t>
      </w:r>
      <w:r w:rsidRPr="00321910">
        <w:t>ordinat</w:t>
      </w:r>
      <w:r>
        <w:t>e</w:t>
      </w:r>
      <w:r w:rsidRPr="00321910">
        <w:t xml:space="preserve"> </w:t>
      </w:r>
      <w:r>
        <w:t>supports.</w:t>
      </w:r>
      <w:r w:rsidRPr="00321910">
        <w:t xml:space="preserve"> </w:t>
      </w:r>
    </w:p>
    <w:p w14:paraId="76949A16" w14:textId="77777777" w:rsidR="00804DDC" w:rsidRDefault="00804DDC" w:rsidP="00804DDC">
      <w:pPr>
        <w:pStyle w:val="B5-Body"/>
      </w:pPr>
      <w:r>
        <w:t>A</w:t>
      </w:r>
      <w:r w:rsidRPr="00321910">
        <w:t xml:space="preserve">lternative commissioning approaches that are placed-based and community-driven </w:t>
      </w:r>
      <w:r>
        <w:t>c</w:t>
      </w:r>
      <w:r w:rsidRPr="00321910">
        <w:t xml:space="preserve">ould strengthen the First Nations community-controlled disability sector and build </w:t>
      </w:r>
      <w:r>
        <w:t>sustainable supply of NDIS services in remote areas</w:t>
      </w:r>
      <w:r w:rsidRPr="00321910">
        <w:t xml:space="preserve">. </w:t>
      </w:r>
    </w:p>
    <w:p w14:paraId="3DE82ACA" w14:textId="77777777" w:rsidR="00804DDC" w:rsidRDefault="00804DDC" w:rsidP="00804DDC">
      <w:pPr>
        <w:pStyle w:val="B5-Body"/>
      </w:pPr>
      <w:r>
        <w:t xml:space="preserve">These approaches could lower the cost of service delivery by offering service providers greater certainty of demand. This could also increase their ability to achieve scale and continuity of supply. </w:t>
      </w:r>
    </w:p>
    <w:p w14:paraId="7E0951D9" w14:textId="61DC827E" w:rsidR="00D64D30" w:rsidRDefault="00804DDC" w:rsidP="00804DDC">
      <w:pPr>
        <w:pStyle w:val="B5-Body"/>
        <w:rPr>
          <w:rFonts w:ascii="Segoe UI" w:eastAsiaTheme="majorEastAsia" w:hAnsi="Segoe UI" w:cstheme="majorBidi"/>
          <w:color w:val="092B57" w:themeColor="text1"/>
          <w:sz w:val="44"/>
          <w:szCs w:val="44"/>
        </w:rPr>
      </w:pPr>
      <w:r>
        <w:t>Alternative commissioning arrangements would enable culturally appropriate supports to be delivered by a more localised workforce. These approaches could also improve outcomes for participants and drive a more sustainable care and support ecosystem over time.</w:t>
      </w:r>
      <w:r w:rsidR="00D64D30">
        <w:br w:type="page"/>
      </w:r>
    </w:p>
    <w:p w14:paraId="5E749426" w14:textId="674A6691" w:rsidR="00804DDC" w:rsidRDefault="00804DDC" w:rsidP="00C93980">
      <w:pPr>
        <w:pStyle w:val="Heading2"/>
        <w:numPr>
          <w:ilvl w:val="0"/>
          <w:numId w:val="11"/>
        </w:numPr>
        <w:ind w:left="567" w:hanging="567"/>
      </w:pPr>
      <w:bookmarkStart w:id="81" w:name="_Toc124685428"/>
      <w:bookmarkStart w:id="82" w:name="_Toc124760129"/>
      <w:bookmarkStart w:id="83" w:name="_Toc124762106"/>
      <w:bookmarkStart w:id="84" w:name="_Toc125040835"/>
      <w:bookmarkStart w:id="85" w:name="_Toc136350277"/>
      <w:bookmarkStart w:id="86" w:name="_Toc136522399"/>
      <w:bookmarkStart w:id="87" w:name="_Toc124362731"/>
      <w:bookmarkStart w:id="88" w:name="_Toc124412360"/>
      <w:bookmarkStart w:id="89" w:name="_Toc124424846"/>
      <w:bookmarkStart w:id="90" w:name="_Toc124445175"/>
      <w:bookmarkStart w:id="91" w:name="_Toc124456003"/>
      <w:bookmarkStart w:id="92" w:name="_Toc124527759"/>
      <w:bookmarkStart w:id="93" w:name="_Toc124670944"/>
      <w:r w:rsidRPr="00804DDC">
        <w:t>Implementing</w:t>
      </w:r>
      <w:r>
        <w:t xml:space="preserve"> a placed-based, community-driven alternative commissioning approach</w:t>
      </w:r>
      <w:bookmarkEnd w:id="81"/>
      <w:bookmarkEnd w:id="82"/>
      <w:bookmarkEnd w:id="83"/>
      <w:bookmarkEnd w:id="84"/>
      <w:bookmarkEnd w:id="85"/>
      <w:bookmarkEnd w:id="86"/>
      <w:r>
        <w:t xml:space="preserve"> </w:t>
      </w:r>
      <w:bookmarkEnd w:id="87"/>
      <w:bookmarkEnd w:id="88"/>
      <w:bookmarkEnd w:id="89"/>
      <w:bookmarkEnd w:id="90"/>
      <w:bookmarkEnd w:id="91"/>
      <w:bookmarkEnd w:id="92"/>
      <w:bookmarkEnd w:id="93"/>
    </w:p>
    <w:p w14:paraId="3964618D" w14:textId="77777777" w:rsidR="00804DDC" w:rsidRDefault="00804DDC" w:rsidP="00804DDC">
      <w:r>
        <w:t>To be effective in improving service delivery for both First Nations communities and remote communities, alternative commissioning needs to follow a commissioning cycle (Figure 14). The cycle involves:</w:t>
      </w:r>
    </w:p>
    <w:p w14:paraId="5AFF3FB4" w14:textId="77777777" w:rsidR="00804DDC" w:rsidRPr="00151263" w:rsidRDefault="00804DDC" w:rsidP="00151263">
      <w:pPr>
        <w:pStyle w:val="Listnumbers-Level1"/>
      </w:pPr>
      <w:r w:rsidRPr="00151263">
        <w:t>understanding communities’ strengths and needs, including what initiatives and infrastructure already exist on the ground and can be built upon</w:t>
      </w:r>
    </w:p>
    <w:p w14:paraId="0D3BC24C" w14:textId="77777777" w:rsidR="00804DDC" w:rsidRPr="00151263" w:rsidRDefault="00804DDC" w:rsidP="00151263">
      <w:pPr>
        <w:pStyle w:val="Listnumbers-Level1"/>
      </w:pPr>
      <w:r w:rsidRPr="00151263">
        <w:t>exploring and designing solutions from the ground up based on local needs and priorities</w:t>
      </w:r>
    </w:p>
    <w:p w14:paraId="48999249" w14:textId="77777777" w:rsidR="00804DDC" w:rsidRPr="00151263" w:rsidRDefault="00804DDC" w:rsidP="00151263">
      <w:pPr>
        <w:pStyle w:val="Listnumbers-Level1"/>
      </w:pPr>
      <w:r w:rsidRPr="00151263">
        <w:t>implementing the approach by selecting, overseeing, and engaging with providers and managing contracts. Implementation should also consider complementary policy or ‘enablers’, including: the role of intermediary supports, regulatory settings for ensuring appropriate quality and safeguarding, and pathways to access services</w:t>
      </w:r>
    </w:p>
    <w:p w14:paraId="468DC898" w14:textId="77777777" w:rsidR="00804DDC" w:rsidRPr="00151263" w:rsidRDefault="00804DDC" w:rsidP="00151263">
      <w:pPr>
        <w:pStyle w:val="Listnumbers-Level1"/>
      </w:pPr>
      <w:r w:rsidRPr="00151263">
        <w:t>ongoing monitoring, evaluation, and improvement.</w:t>
      </w:r>
    </w:p>
    <w:p w14:paraId="48555366" w14:textId="5B3B1BA1" w:rsidR="00804DDC" w:rsidRDefault="00804DDC" w:rsidP="00151263">
      <w:pPr>
        <w:pStyle w:val="Figure"/>
      </w:pPr>
      <w:bookmarkStart w:id="94" w:name="fig14"/>
      <w:r w:rsidRPr="005D790F">
        <w:t>Building blocks for alternative commissioning</w:t>
      </w:r>
    </w:p>
    <w:bookmarkEnd w:id="94"/>
    <w:p w14:paraId="5D289499" w14:textId="54DF6516" w:rsidR="00804DDC" w:rsidRDefault="00151263" w:rsidP="00151263">
      <w:r>
        <w:rPr>
          <w:noProof/>
          <w:lang w:eastAsia="en-AU"/>
        </w:rPr>
        <w:drawing>
          <wp:inline distT="0" distB="0" distL="0" distR="0" wp14:anchorId="63514BA7" wp14:editId="6DD8F36A">
            <wp:extent cx="5348981" cy="4280258"/>
            <wp:effectExtent l="0" t="0" r="4445" b="6350"/>
            <wp:docPr id="40" name="Picture 40" descr="Figure 14.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C-Figure 14.png"/>
                    <pic:cNvPicPr/>
                  </pic:nvPicPr>
                  <pic:blipFill>
                    <a:blip r:embed="rId36">
                      <a:extLst>
                        <a:ext uri="{28A0092B-C50C-407E-A947-70E740481C1C}">
                          <a14:useLocalDpi xmlns:a14="http://schemas.microsoft.com/office/drawing/2010/main" val="0"/>
                        </a:ext>
                      </a:extLst>
                    </a:blip>
                    <a:stretch>
                      <a:fillRect/>
                    </a:stretch>
                  </pic:blipFill>
                  <pic:spPr>
                    <a:xfrm>
                      <a:off x="0" y="0"/>
                      <a:ext cx="5348981" cy="4280258"/>
                    </a:xfrm>
                    <a:prstGeom prst="rect">
                      <a:avLst/>
                    </a:prstGeom>
                  </pic:spPr>
                </pic:pic>
              </a:graphicData>
            </a:graphic>
          </wp:inline>
        </w:drawing>
      </w:r>
    </w:p>
    <w:p w14:paraId="5B2AC778" w14:textId="67B0FBC0" w:rsidR="00151263" w:rsidRDefault="00050BFB" w:rsidP="00151263">
      <w:hyperlink w:anchor="_Figure_14_-" w:history="1">
        <w:r w:rsidR="00151263" w:rsidRPr="007932D8">
          <w:rPr>
            <w:rStyle w:val="Hyperlink"/>
            <w:rFonts w:asciiTheme="minorHAnsi" w:hAnsiTheme="minorHAnsi"/>
          </w:rPr>
          <w:t>Figure 14 text description</w:t>
        </w:r>
        <w:bookmarkStart w:id="95" w:name="_Figure_3_-"/>
        <w:bookmarkEnd w:id="95"/>
      </w:hyperlink>
    </w:p>
    <w:p w14:paraId="086D0CE3" w14:textId="77777777" w:rsidR="00151263" w:rsidRDefault="00151263" w:rsidP="00050BFB">
      <w:pPr>
        <w:pStyle w:val="Heading3"/>
      </w:pPr>
      <w:bookmarkStart w:id="96" w:name="_GoBack"/>
      <w:bookmarkEnd w:id="96"/>
      <w:r>
        <w:lastRenderedPageBreak/>
        <w:t xml:space="preserve">There are a range of alternative commissioning approaches </w:t>
      </w:r>
    </w:p>
    <w:p w14:paraId="5A9423E6" w14:textId="77777777" w:rsidR="00151263" w:rsidRDefault="00151263" w:rsidP="00151263">
      <w:r w:rsidRPr="00B01025">
        <w:t xml:space="preserve">As noted </w:t>
      </w:r>
      <w:r>
        <w:t>above</w:t>
      </w:r>
      <w:r w:rsidRPr="00B01025">
        <w:t xml:space="preserve">, </w:t>
      </w:r>
      <w:r>
        <w:t xml:space="preserve">alternative commissioning approaches are not returning to ‘block funding’. Instead, they should </w:t>
      </w:r>
      <w:r w:rsidRPr="00D754C8">
        <w:t>provide participants</w:t>
      </w:r>
      <w:r>
        <w:t xml:space="preserve"> – particularly those</w:t>
      </w:r>
      <w:r w:rsidRPr="00D754C8">
        <w:t xml:space="preserve"> living in remote and very remote areas </w:t>
      </w:r>
      <w:r>
        <w:t xml:space="preserve">– </w:t>
      </w:r>
      <w:r w:rsidRPr="00D754C8">
        <w:t>with</w:t>
      </w:r>
      <w:r>
        <w:t xml:space="preserve"> better continuity of services while offering</w:t>
      </w:r>
      <w:r w:rsidRPr="00D754C8">
        <w:t xml:space="preserve"> choice and control over</w:t>
      </w:r>
      <w:r w:rsidRPr="0075093D">
        <w:t xml:space="preserve"> </w:t>
      </w:r>
      <w:r>
        <w:t>which service delivery model best suits the needs of the local community.</w:t>
      </w:r>
    </w:p>
    <w:p w14:paraId="00321AAE" w14:textId="77777777" w:rsidR="00151263" w:rsidRDefault="00151263" w:rsidP="00151263">
      <w:r>
        <w:t xml:space="preserve">Alternative commissioning approaches could be designed to coordinate demand for a number of NDIS supports within the community. Participants could flexibly access what they need, when they need. Design options could aim to set service providers up to deliver supports responsively to local needs and sustainably over the long term. </w:t>
      </w:r>
    </w:p>
    <w:p w14:paraId="1D363CCF" w14:textId="77777777" w:rsidR="00151263" w:rsidRDefault="00151263" w:rsidP="00151263">
      <w:r>
        <w:t xml:space="preserve">Alternative commissioning approaches could also be designed to coordinate demand for care and supports across disability supports (both funded by NDIS and other governments), health, aged care and veterans’ care supports. </w:t>
      </w:r>
    </w:p>
    <w:p w14:paraId="44C7A27F" w14:textId="77777777" w:rsidR="00151263" w:rsidRDefault="00151263" w:rsidP="00151263">
      <w:r>
        <w:t>Rather than separately funding different supports and community capacity building initiatives, funding for services could be more coordinated (or ‘integrated’) across programs to minimise duplication and gaps.</w:t>
      </w:r>
      <w:r w:rsidRPr="008E7BFA">
        <w:t xml:space="preserve"> </w:t>
      </w:r>
      <w:r>
        <w:t xml:space="preserve"> </w:t>
      </w:r>
    </w:p>
    <w:p w14:paraId="39B1CD6F" w14:textId="77777777" w:rsidR="00151263" w:rsidDel="006B6DA7" w:rsidRDefault="00151263" w:rsidP="00151263">
      <w:pPr>
        <w:pStyle w:val="Quote"/>
      </w:pPr>
      <w:r w:rsidDel="006B6DA7">
        <w:t>Services in remote Indigenous communities are often poorly planned and uncoordinated, both between and within governments, and between service providers. Decisions about service provision are made on the basis of jurisdictional, departmental and program boundaries, and this may come at the expense of a focus on outcomes for users.</w:t>
      </w:r>
      <w:r>
        <w:rPr>
          <w:rStyle w:val="EndnoteReference"/>
        </w:rPr>
        <w:endnoteReference w:id="49"/>
      </w:r>
    </w:p>
    <w:p w14:paraId="7522F95B" w14:textId="77777777" w:rsidR="00151263" w:rsidRDefault="00151263" w:rsidP="00151263">
      <w:r>
        <w:t xml:space="preserve">Integrated commissioning approaches would make it clearer and easier for communities – particularly in remote areas – to understand what services they can access, from who and when. </w:t>
      </w:r>
    </w:p>
    <w:p w14:paraId="59C516B0" w14:textId="77777777" w:rsidR="00151263" w:rsidRDefault="00151263" w:rsidP="00151263">
      <w:r>
        <w:t xml:space="preserve">Having a single interface point for services such as disability support, aged care and veterans’ care supports can provide better wrap-around supports and services with smoother transitions across different life stages. For example, the </w:t>
      </w:r>
      <w:r w:rsidRPr="004D2D34">
        <w:rPr>
          <w:i/>
        </w:rPr>
        <w:t>Far North Queensland Connect: Connecting people, connecting care (FNQ Connect)</w:t>
      </w:r>
      <w:r>
        <w:rPr>
          <w:rStyle w:val="EndnoteReference"/>
          <w:i/>
        </w:rPr>
        <w:endnoteReference w:id="50"/>
      </w:r>
      <w:r>
        <w:t xml:space="preserve"> proposes developing a</w:t>
      </w:r>
      <w:r w:rsidRPr="0058012E">
        <w:t xml:space="preserve"> joint funding mechanism </w:t>
      </w:r>
      <w:r>
        <w:t>to align resources (Case Study 2).</w:t>
      </w:r>
    </w:p>
    <w:p w14:paraId="790436E0" w14:textId="77777777" w:rsidR="00151263" w:rsidRDefault="00151263" w:rsidP="00151263">
      <w:r>
        <w:t>For potential and existing service providers, integrated commissioning approaches may make it easier to achieve scale and reduce demand risk across the various care and supports needed in the community. Design of the enablers for alternative commissioning approaches (</w:t>
      </w:r>
      <w:r>
        <w:fldChar w:fldCharType="begin"/>
      </w:r>
      <w:r>
        <w:instrText xml:space="preserve"> REF _Ref125356660 \h </w:instrText>
      </w:r>
      <w:r>
        <w:fldChar w:fldCharType="separate"/>
      </w:r>
      <w:r>
        <w:t xml:space="preserve">Figure </w:t>
      </w:r>
      <w:r>
        <w:rPr>
          <w:noProof/>
        </w:rPr>
        <w:t>15</w:t>
      </w:r>
      <w:r>
        <w:fldChar w:fldCharType="end"/>
      </w:r>
      <w:r>
        <w:t>) may also make it easier for service providers to deliver supports in the community by reducing the complexity in different care and support program approaches.</w:t>
      </w:r>
    </w:p>
    <w:p w14:paraId="1DC1E3E6" w14:textId="4DB4D08F" w:rsidR="00151263" w:rsidRDefault="00151263" w:rsidP="00151263">
      <w:r>
        <w:lastRenderedPageBreak/>
        <w:t>Communities could also drive the design and lead the commissioning process for the supports they need. Community commissioning approaches could use different commissioning approaches, such as integrated commissioning.</w:t>
      </w:r>
    </w:p>
    <w:p w14:paraId="79D24604" w14:textId="66D1127A" w:rsidR="00151263" w:rsidRPr="00715FBF" w:rsidRDefault="00151263" w:rsidP="00715FBF">
      <w:pPr>
        <w:pStyle w:val="Casestudyheading"/>
      </w:pPr>
      <w:bookmarkStart w:id="97" w:name="_Toc123825826"/>
      <w:bookmarkStart w:id="98" w:name="_Toc123831288"/>
      <w:bookmarkStart w:id="99" w:name="_Toc123923524"/>
      <w:bookmarkStart w:id="100" w:name="_Toc123924185"/>
      <w:bookmarkStart w:id="101" w:name="_Toc123924430"/>
      <w:r w:rsidRPr="00715FBF">
        <w:t>Case Study 2</w:t>
      </w:r>
      <w:r w:rsidR="00715FBF" w:rsidRPr="00715FBF">
        <w:t xml:space="preserve"> </w:t>
      </w:r>
      <w:r w:rsidRPr="00715FBF">
        <w:rPr>
          <w:b/>
        </w:rPr>
        <w:t>Far North Queensland (FNQ) Connect</w:t>
      </w:r>
      <w:bookmarkEnd w:id="97"/>
      <w:bookmarkEnd w:id="98"/>
      <w:bookmarkEnd w:id="99"/>
      <w:bookmarkEnd w:id="100"/>
      <w:bookmarkEnd w:id="101"/>
      <w:r w:rsidRPr="00715FBF">
        <w:rPr>
          <w:b/>
        </w:rPr>
        <w:t xml:space="preserve"> – a community-driven proposal for integrated care to address low and fragmented supply</w:t>
      </w:r>
    </w:p>
    <w:p w14:paraId="12D4F154" w14:textId="77777777" w:rsidR="00151263" w:rsidRDefault="00151263" w:rsidP="00151263">
      <w:pPr>
        <w:pStyle w:val="BOXText"/>
      </w:pPr>
      <w:r w:rsidRPr="00E709BE">
        <w:rPr>
          <w:i/>
        </w:rPr>
        <w:t>FNQ Connect: connecting people, connecting care</w:t>
      </w:r>
      <w:r>
        <w:rPr>
          <w:i/>
        </w:rPr>
        <w:t xml:space="preserve"> </w:t>
      </w:r>
      <w:r>
        <w:t xml:space="preserve">is a proposed model for disability, rehabilitation and lifestyle services for children, young people, adults and older people. </w:t>
      </w:r>
    </w:p>
    <w:p w14:paraId="0E3AF052" w14:textId="0D6CAC80" w:rsidR="00151263" w:rsidRPr="00272813" w:rsidRDefault="00151263" w:rsidP="00272813">
      <w:pPr>
        <w:pStyle w:val="BOXText"/>
      </w:pPr>
      <w:r w:rsidRPr="00272813">
        <w:t>The FNQ Connect proposes to integrate and strengthen existing services in the 21 Local Government Areas</w:t>
      </w:r>
      <w:r w:rsidR="00272813" w:rsidRPr="00272813">
        <w:rPr>
          <w:rStyle w:val="EndnoteReference"/>
        </w:rPr>
        <w:endnoteReference w:id="51"/>
      </w:r>
      <w:r w:rsidR="00272813" w:rsidRPr="00272813">
        <w:rPr>
          <w:vertAlign w:val="superscript"/>
        </w:rPr>
        <w:t xml:space="preserve"> </w:t>
      </w:r>
      <w:r w:rsidRPr="00272813">
        <w:t xml:space="preserve">which make up FNQ. The proposed models includes a </w:t>
      </w:r>
      <w:r w:rsidRPr="00272813">
        <w:rPr>
          <w:b/>
        </w:rPr>
        <w:t>network of community hubs</w:t>
      </w:r>
      <w:r w:rsidRPr="00272813">
        <w:t xml:space="preserve"> that act as a ‘one-stop-shop’ for community rehabilitation services, information, education, and advocacy. The proposed hubs’ activities include:</w:t>
      </w:r>
    </w:p>
    <w:p w14:paraId="0622343D" w14:textId="77777777" w:rsidR="00151263" w:rsidRDefault="00151263" w:rsidP="00C93980">
      <w:pPr>
        <w:pStyle w:val="BOXText"/>
        <w:numPr>
          <w:ilvl w:val="0"/>
          <w:numId w:val="13"/>
        </w:numPr>
        <w:spacing w:after="120"/>
        <w:ind w:left="357" w:hanging="357"/>
      </w:pPr>
      <w:r>
        <w:t>connecting care and support through shared health records, shared clinical governance and expansion of transition and navigation service</w:t>
      </w:r>
    </w:p>
    <w:p w14:paraId="693AAF58" w14:textId="77777777" w:rsidR="00151263" w:rsidRDefault="00151263" w:rsidP="00C93980">
      <w:pPr>
        <w:pStyle w:val="BOXText"/>
        <w:numPr>
          <w:ilvl w:val="0"/>
          <w:numId w:val="13"/>
        </w:numPr>
        <w:spacing w:after="120"/>
        <w:ind w:left="357" w:hanging="357"/>
      </w:pPr>
      <w:r>
        <w:t>strengthening local community workforce and locally owned services through the development of certified workforce pathways and sustainable local services to match local needs</w:t>
      </w:r>
    </w:p>
    <w:p w14:paraId="0B65C31A" w14:textId="77777777" w:rsidR="00151263" w:rsidRDefault="00151263" w:rsidP="00C93980">
      <w:pPr>
        <w:pStyle w:val="BOXText"/>
        <w:numPr>
          <w:ilvl w:val="0"/>
          <w:numId w:val="13"/>
        </w:numPr>
        <w:spacing w:after="120"/>
        <w:ind w:left="357" w:hanging="357"/>
      </w:pPr>
      <w:r>
        <w:t>building inclusive communities through inclusive policies, procedures, education and investment.</w:t>
      </w:r>
    </w:p>
    <w:p w14:paraId="2CB1DDEF" w14:textId="2CF21EB5" w:rsidR="00151263" w:rsidRDefault="00151263" w:rsidP="00272813">
      <w:pPr>
        <w:pStyle w:val="BOXText"/>
      </w:pPr>
      <w:r>
        <w:t xml:space="preserve">FNQ Connect is proposed to be an </w:t>
      </w:r>
      <w:r w:rsidRPr="00D511C2">
        <w:rPr>
          <w:b/>
        </w:rPr>
        <w:t>independent entity</w:t>
      </w:r>
      <w:r w:rsidRPr="009D4385">
        <w:rPr>
          <w:b/>
        </w:rPr>
        <w:t>, guided by a Leadership Table</w:t>
      </w:r>
      <w:r>
        <w:t xml:space="preserve"> led by people with lived experience of disability and representatives of Aboriginal and Torres Strait Islander communities, senior executives from key FNQ government, non</w:t>
      </w:r>
      <w:r>
        <w:noBreakHyphen/>
        <w:t xml:space="preserve">government and private stakeholder organisations. The Leadership Table will begin by developing a </w:t>
      </w:r>
      <w:r w:rsidRPr="009D4385">
        <w:rPr>
          <w:b/>
        </w:rPr>
        <w:t>joint funding mechanism</w:t>
      </w:r>
      <w:r>
        <w:t xml:space="preserve"> to leverage existing capacity and assets of agencies within FNQ Connect.</w:t>
      </w:r>
    </w:p>
    <w:p w14:paraId="6B55743E" w14:textId="77777777" w:rsidR="00272813" w:rsidRDefault="00272813" w:rsidP="00050BFB">
      <w:pPr>
        <w:pStyle w:val="Heading3"/>
      </w:pPr>
      <w:r>
        <w:t xml:space="preserve">Approaches need to be underpinned by strong partnerships </w:t>
      </w:r>
    </w:p>
    <w:p w14:paraId="485955B3" w14:textId="77777777" w:rsidR="00272813" w:rsidRDefault="00272813" w:rsidP="00272813">
      <w:r>
        <w:t xml:space="preserve">The most critical element of this cycle is </w:t>
      </w:r>
      <w:r w:rsidRPr="00587169">
        <w:t>governance structures that share decision-making power with First Nations representatives and communities</w:t>
      </w:r>
      <w:r>
        <w:t xml:space="preserve">. This has been agreed to in the </w:t>
      </w:r>
      <w:r w:rsidRPr="00DE5327">
        <w:t xml:space="preserve">Closing the Gap </w:t>
      </w:r>
      <w:r>
        <w:t xml:space="preserve">National </w:t>
      </w:r>
      <w:r w:rsidRPr="00DE5327">
        <w:t>Agreement</w:t>
      </w:r>
      <w:r>
        <w:t>, endorsed by all jurisdictions.</w:t>
      </w:r>
    </w:p>
    <w:p w14:paraId="26399284" w14:textId="77777777" w:rsidR="00272813" w:rsidRDefault="00272813" w:rsidP="00050BFB">
      <w:pPr>
        <w:pStyle w:val="Heading4"/>
      </w:pPr>
      <w:r>
        <w:t>Closing the Gap National Agreement</w:t>
      </w:r>
    </w:p>
    <w:p w14:paraId="09B6874E" w14:textId="77777777" w:rsidR="00272813" w:rsidRDefault="00272813" w:rsidP="00272813">
      <w:r>
        <w:t xml:space="preserve">The </w:t>
      </w:r>
      <w:r w:rsidRPr="00DE5327">
        <w:t xml:space="preserve">Closing the Gap </w:t>
      </w:r>
      <w:r>
        <w:t xml:space="preserve">National </w:t>
      </w:r>
      <w:r w:rsidRPr="00DE5327">
        <w:t>Agreement</w:t>
      </w:r>
      <w:r>
        <w:t xml:space="preserve"> </w:t>
      </w:r>
      <w:r w:rsidRPr="00660035">
        <w:t>commits</w:t>
      </w:r>
      <w:r>
        <w:t xml:space="preserve"> all Australian governments to work</w:t>
      </w:r>
      <w:r w:rsidRPr="00660035">
        <w:t xml:space="preserve"> in full and genuine partnership with </w:t>
      </w:r>
      <w:r>
        <w:t>First Nations</w:t>
      </w:r>
      <w:r w:rsidRPr="00660035">
        <w:t xml:space="preserve"> people in making policies to close the gap</w:t>
      </w:r>
      <w:r>
        <w:t xml:space="preserve">. </w:t>
      </w:r>
    </w:p>
    <w:p w14:paraId="3A717B66" w14:textId="77777777" w:rsidR="00272813" w:rsidRDefault="00272813" w:rsidP="00272813">
      <w:r>
        <w:lastRenderedPageBreak/>
        <w:t>In exploring alternative commissioning approaches with communities, governments should ensure they continue to work in partnership with First Nations people and give effect to the four Priority Reforms (</w:t>
      </w:r>
      <w:r>
        <w:fldChar w:fldCharType="begin"/>
      </w:r>
      <w:r>
        <w:instrText xml:space="preserve"> REF _Ref130373185 \h </w:instrText>
      </w:r>
      <w:r>
        <w:fldChar w:fldCharType="separate"/>
      </w:r>
      <w:r>
        <w:t xml:space="preserve">Figure </w:t>
      </w:r>
      <w:r>
        <w:rPr>
          <w:noProof/>
        </w:rPr>
        <w:t>15</w:t>
      </w:r>
      <w:r>
        <w:fldChar w:fldCharType="end"/>
      </w:r>
      <w:r>
        <w:t xml:space="preserve">). </w:t>
      </w:r>
    </w:p>
    <w:p w14:paraId="0E146801" w14:textId="3EBF1425" w:rsidR="00272813" w:rsidRDefault="00272813" w:rsidP="001C55CA">
      <w:r>
        <w:t>The NDIA is taking important steps towards building genuine partnerships with First Nations representatives and peoples (Box 2). However, it will take time for the NDIA to build these partnerships.</w:t>
      </w:r>
      <w:r>
        <w:br w:type="page"/>
      </w:r>
    </w:p>
    <w:p w14:paraId="44BED389" w14:textId="6A2360DF" w:rsidR="00272813" w:rsidRDefault="00272813" w:rsidP="00272813">
      <w:pPr>
        <w:pStyle w:val="Figure"/>
        <w:ind w:left="1134" w:hanging="1134"/>
      </w:pPr>
      <w:r>
        <w:lastRenderedPageBreak/>
        <w:t>Governments must work in partnership to roll out a</w:t>
      </w:r>
      <w:r w:rsidRPr="005E75B4">
        <w:t>lternative commissioning</w:t>
      </w:r>
      <w:r>
        <w:t xml:space="preserve"> approaches that deliver against the four Priority Reforms in </w:t>
      </w:r>
      <w:r w:rsidRPr="005E75B4">
        <w:t>the</w:t>
      </w:r>
      <w:r>
        <w:t xml:space="preserve"> Closing the Gap</w:t>
      </w:r>
      <w:r w:rsidRPr="005E75B4">
        <w:t xml:space="preserve"> </w:t>
      </w:r>
      <w:r>
        <w:t xml:space="preserve">National </w:t>
      </w:r>
      <w:r w:rsidRPr="005E75B4">
        <w:t>Agreement</w:t>
      </w:r>
    </w:p>
    <w:p w14:paraId="5F90D64D" w14:textId="45729848" w:rsidR="00272813" w:rsidRDefault="00272813" w:rsidP="00272813">
      <w:r>
        <w:rPr>
          <w:noProof/>
          <w:lang w:eastAsia="en-AU"/>
        </w:rPr>
        <w:drawing>
          <wp:inline distT="0" distB="0" distL="0" distR="0" wp14:anchorId="57382470" wp14:editId="5E226A97">
            <wp:extent cx="6108721" cy="2865368"/>
            <wp:effectExtent l="0" t="0" r="6350" b="0"/>
            <wp:docPr id="41" name="Picture 41" descr="Four alternative commissioning approaches to the four priority reforms under Closing the Gap: 1. First Nations people and governments share decision-making authority over what alternative commissioning approaches are used in their communities; 2. Alternative commissioning approach builds a strong and sustainable First Nations community-controlled sector; 3. Alternative commissioning approaches transform government services to be  more culturally safe, inclusive and responsive; 4. First Nations people have access to, and the capability to use, locally relevant data and information to set, monitor and evaluat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C-Figure 15.png"/>
                    <pic:cNvPicPr/>
                  </pic:nvPicPr>
                  <pic:blipFill>
                    <a:blip r:embed="rId37">
                      <a:extLst>
                        <a:ext uri="{28A0092B-C50C-407E-A947-70E740481C1C}">
                          <a14:useLocalDpi xmlns:a14="http://schemas.microsoft.com/office/drawing/2010/main" val="0"/>
                        </a:ext>
                      </a:extLst>
                    </a:blip>
                    <a:stretch>
                      <a:fillRect/>
                    </a:stretch>
                  </pic:blipFill>
                  <pic:spPr>
                    <a:xfrm>
                      <a:off x="0" y="0"/>
                      <a:ext cx="6108721" cy="2865368"/>
                    </a:xfrm>
                    <a:prstGeom prst="rect">
                      <a:avLst/>
                    </a:prstGeom>
                  </pic:spPr>
                </pic:pic>
              </a:graphicData>
            </a:graphic>
          </wp:inline>
        </w:drawing>
      </w:r>
    </w:p>
    <w:p w14:paraId="7E928710" w14:textId="77777777" w:rsidR="00272813" w:rsidDel="00B34439" w:rsidRDefault="00272813" w:rsidP="00272813">
      <w:r w:rsidRPr="000445D8" w:rsidDel="00B34439">
        <w:t>Strong partnerships will be necessary</w:t>
      </w:r>
      <w:r w:rsidDel="00B34439">
        <w:t xml:space="preserve"> among</w:t>
      </w:r>
      <w:r w:rsidRPr="000445D8" w:rsidDel="00B34439">
        <w:t xml:space="preserve"> communities, local First Nations organisations and experienced disability service providers</w:t>
      </w:r>
      <w:r w:rsidDel="00B34439">
        <w:t>. They</w:t>
      </w:r>
      <w:r w:rsidRPr="000445D8" w:rsidDel="00B34439">
        <w:t xml:space="preserve"> will need to build each other’s knowledge and understanding of disability, culturally appropriate ways of doing business and the individual community context. </w:t>
      </w:r>
      <w:r w:rsidRPr="000867C7" w:rsidDel="00B34439">
        <w:t>Time will also be needed for p</w:t>
      </w:r>
      <w:r w:rsidDel="00B34439">
        <w:t>otential providers to build capacity and capability to respond to the participants’ needs.</w:t>
      </w:r>
    </w:p>
    <w:p w14:paraId="5654743C" w14:textId="77777777" w:rsidR="00272813" w:rsidRPr="00E13C6E" w:rsidRDefault="00272813" w:rsidP="00050BFB">
      <w:pPr>
        <w:pStyle w:val="Heading4"/>
      </w:pPr>
      <w:r w:rsidRPr="00E13C6E">
        <w:t>The Disability Sector Strengthening Plan</w:t>
      </w:r>
    </w:p>
    <w:p w14:paraId="00FC12B8" w14:textId="77777777" w:rsidR="00272813" w:rsidRDefault="00272813" w:rsidP="00272813">
      <w:r w:rsidRPr="001C0607">
        <w:t xml:space="preserve">The </w:t>
      </w:r>
      <w:hyperlink r:id="rId38" w:history="1">
        <w:r w:rsidRPr="00D428CD">
          <w:rPr>
            <w:rStyle w:val="Hyperlink"/>
            <w:rFonts w:asciiTheme="minorHAnsi" w:hAnsiTheme="minorHAnsi"/>
          </w:rPr>
          <w:t>DSSP</w:t>
        </w:r>
      </w:hyperlink>
      <w:r w:rsidRPr="001C0607">
        <w:t xml:space="preserve"> also provides a framework of engaging with and responding to the needs of </w:t>
      </w:r>
      <w:r w:rsidRPr="00932121">
        <w:t>First Nations people with disability</w:t>
      </w:r>
      <w:r w:rsidRPr="00104E52">
        <w:t>. All jurisdictions committed to the Guiding Principles</w:t>
      </w:r>
      <w:r>
        <w:t xml:space="preserve"> (</w:t>
      </w:r>
      <w:r>
        <w:fldChar w:fldCharType="begin"/>
      </w:r>
      <w:r>
        <w:instrText xml:space="preserve"> REF _Ref134026643 \h </w:instrText>
      </w:r>
      <w:r>
        <w:fldChar w:fldCharType="separate"/>
      </w:r>
      <w:r>
        <w:t xml:space="preserve">Figure </w:t>
      </w:r>
      <w:r>
        <w:rPr>
          <w:noProof/>
        </w:rPr>
        <w:t>16</w:t>
      </w:r>
      <w:r>
        <w:fldChar w:fldCharType="end"/>
      </w:r>
      <w:r>
        <w:t>)</w:t>
      </w:r>
      <w:r w:rsidRPr="00104E52">
        <w:t xml:space="preserve"> as a set of minimum standards </w:t>
      </w:r>
      <w:r w:rsidRPr="00D428CD">
        <w:t>when developing policies, programs, services and systems for First Nations Peoples with disability.</w:t>
      </w:r>
      <w:r w:rsidRPr="001C0607">
        <w:t xml:space="preserve"> </w:t>
      </w:r>
    </w:p>
    <w:p w14:paraId="27CEADD9" w14:textId="3F067227" w:rsidR="00272813" w:rsidRDefault="00272813" w:rsidP="001C55CA">
      <w:r>
        <w:t xml:space="preserve">Alternative commissioning approaches aligned with DSSP action to implement localised community-led strategies to respond to NDIS thin markets. These DSSP action include </w:t>
      </w:r>
      <w:r w:rsidRPr="00DB0414">
        <w:t>investing in the community-controlled sector to design and implement place-based approaches that address thin markets across Australia</w:t>
      </w:r>
      <w:r>
        <w:t>. The DSSP also outlines actions to facilitate</w:t>
      </w:r>
      <w:r w:rsidRPr="00DB0414">
        <w:t xml:space="preserve"> a process for community-controlled organisations to provide NDIS services.</w:t>
      </w:r>
      <w:r>
        <w:br w:type="page"/>
      </w:r>
    </w:p>
    <w:p w14:paraId="3ADA07B3" w14:textId="2C9A0D9C" w:rsidR="00272813" w:rsidRDefault="00272813" w:rsidP="00272813">
      <w:pPr>
        <w:pStyle w:val="Figure"/>
      </w:pPr>
      <w:r>
        <w:lastRenderedPageBreak/>
        <w:t>The 12 Guiding Principles in the Disability Sector Strengthening Plan.</w:t>
      </w:r>
    </w:p>
    <w:p w14:paraId="2D08D1DF" w14:textId="6562A4B2" w:rsidR="00272813" w:rsidRDefault="00272813" w:rsidP="00272813">
      <w:r>
        <w:rPr>
          <w:noProof/>
          <w:lang w:eastAsia="en-AU"/>
        </w:rPr>
        <w:drawing>
          <wp:inline distT="0" distB="0" distL="0" distR="0" wp14:anchorId="14551CE7" wp14:editId="38C0039E">
            <wp:extent cx="6120130" cy="1828800"/>
            <wp:effectExtent l="0" t="0" r="0" b="0"/>
            <wp:docPr id="42" name="Picture 42" descr="The Disability Sector Strengthening Plan’s twelve guiding principles: 1. Human Rights; 2. Self-determination; 3. Cultural integrity; 4. Cultural Safety; 5. Partnership; 6. Place-based; 7. Innovation; 8. Empowerment; 9. Equity; 10. Sustainability; 11. Knowledge; 12. Nationally consistent appor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C-Figure 16.png"/>
                    <pic:cNvPicPr/>
                  </pic:nvPicPr>
                  <pic:blipFill>
                    <a:blip r:embed="rId39">
                      <a:extLst>
                        <a:ext uri="{28A0092B-C50C-407E-A947-70E740481C1C}">
                          <a14:useLocalDpi xmlns:a14="http://schemas.microsoft.com/office/drawing/2010/main" val="0"/>
                        </a:ext>
                      </a:extLst>
                    </a:blip>
                    <a:stretch>
                      <a:fillRect/>
                    </a:stretch>
                  </pic:blipFill>
                  <pic:spPr>
                    <a:xfrm>
                      <a:off x="0" y="0"/>
                      <a:ext cx="6120130" cy="1828800"/>
                    </a:xfrm>
                    <a:prstGeom prst="rect">
                      <a:avLst/>
                    </a:prstGeom>
                  </pic:spPr>
                </pic:pic>
              </a:graphicData>
            </a:graphic>
          </wp:inline>
        </w:drawing>
      </w:r>
    </w:p>
    <w:p w14:paraId="76F97241" w14:textId="77777777" w:rsidR="00272813" w:rsidRDefault="00272813" w:rsidP="00050BFB">
      <w:pPr>
        <w:pStyle w:val="Heading3"/>
      </w:pPr>
      <w:r>
        <w:t xml:space="preserve">The timing of roll </w:t>
      </w:r>
      <w:r w:rsidRPr="00B83492">
        <w:t xml:space="preserve">out should </w:t>
      </w:r>
      <w:r>
        <w:t xml:space="preserve">be community-led </w:t>
      </w:r>
    </w:p>
    <w:p w14:paraId="5AA12352" w14:textId="77777777" w:rsidR="00272813" w:rsidRDefault="00272813" w:rsidP="00272813">
      <w:r>
        <w:t>Expanding new approaches in remote communities too far, too fast is a significant risk</w:t>
      </w:r>
      <w:r>
        <w:rPr>
          <w:rStyle w:val="EndnoteReference"/>
        </w:rPr>
        <w:endnoteReference w:id="52"/>
      </w:r>
      <w:r>
        <w:t>.</w:t>
      </w:r>
      <w:r w:rsidRPr="005431F0">
        <w:t xml:space="preserve"> </w:t>
      </w:r>
    </w:p>
    <w:p w14:paraId="72D4D66E" w14:textId="77777777" w:rsidR="00272813" w:rsidRDefault="00272813" w:rsidP="00272813">
      <w:r>
        <w:t>Roll out should also be on a case-by-case basis, depending on each community’s capacity and capability. For example, community commissioning approaches (</w:t>
      </w:r>
      <w:r>
        <w:fldChar w:fldCharType="begin"/>
      </w:r>
      <w:r>
        <w:instrText xml:space="preserve"> REF _Ref124347183 \h </w:instrText>
      </w:r>
      <w:r>
        <w:fldChar w:fldCharType="separate"/>
      </w:r>
      <w:r>
        <w:t xml:space="preserve">Figure </w:t>
      </w:r>
      <w:r>
        <w:rPr>
          <w:noProof/>
        </w:rPr>
        <w:t>5</w:t>
      </w:r>
      <w:r>
        <w:fldChar w:fldCharType="end"/>
      </w:r>
      <w:r>
        <w:t>) should draw on a community’s capacity at the time to lead the alternative commissioning approach.</w:t>
      </w:r>
    </w:p>
    <w:p w14:paraId="6A332B66" w14:textId="77777777" w:rsidR="00272813" w:rsidRDefault="00272813" w:rsidP="00272813">
      <w:r>
        <w:t>First Nations communities in non-remote areas should have the option choose whether alternative commissioning approaches could better deliver culturally appropriate NDIS supports to meet their needs.</w:t>
      </w:r>
    </w:p>
    <w:p w14:paraId="4814E88E" w14:textId="77777777" w:rsidR="00272813" w:rsidRDefault="00272813" w:rsidP="00272813">
      <w:r>
        <w:t>Learnings and experience to date from the NDIS thin market trials also indicate that NDIA needs to build their capacity and capability to roll out alternative commissioning approaches. Part of building NDIA’s capability will be to ensure a sound foundation (or ‘building blocks’) for alternative commissioning (</w:t>
      </w:r>
      <w:r>
        <w:fldChar w:fldCharType="begin"/>
      </w:r>
      <w:r>
        <w:instrText xml:space="preserve"> REF _Ref125356660 \h </w:instrText>
      </w:r>
      <w:r>
        <w:fldChar w:fldCharType="separate"/>
      </w:r>
      <w:r>
        <w:t xml:space="preserve">Figure </w:t>
      </w:r>
      <w:r>
        <w:rPr>
          <w:noProof/>
        </w:rPr>
        <w:t>14</w:t>
      </w:r>
      <w:r>
        <w:fldChar w:fldCharType="end"/>
      </w:r>
      <w:r>
        <w:t>).</w:t>
      </w:r>
    </w:p>
    <w:p w14:paraId="66A27692" w14:textId="732440FF" w:rsidR="00D75619" w:rsidRDefault="00272813" w:rsidP="001C55CA">
      <w:r>
        <w:t>Commencing alternative commissioning</w:t>
      </w:r>
      <w:r w:rsidRPr="00585084">
        <w:t xml:space="preserve"> </w:t>
      </w:r>
      <w:r>
        <w:t xml:space="preserve">pilots as soon as possible </w:t>
      </w:r>
      <w:r w:rsidRPr="00585084">
        <w:t>will help to understand what works and allow time to develop and strengthe</w:t>
      </w:r>
      <w:r>
        <w:t xml:space="preserve">n partnerships with communities. An evaluation of these pilots should inform how to progress the full roll out of alternative commissioning. The </w:t>
      </w:r>
      <w:r w:rsidRPr="009906B5">
        <w:t xml:space="preserve">evaluation should </w:t>
      </w:r>
      <w:r>
        <w:t xml:space="preserve">also </w:t>
      </w:r>
      <w:r w:rsidRPr="009906B5">
        <w:t xml:space="preserve">review </w:t>
      </w:r>
      <w:r>
        <w:t xml:space="preserve">the extent to which integrated </w:t>
      </w:r>
      <w:r w:rsidRPr="009906B5">
        <w:t xml:space="preserve">commissioning approaches are preferred by </w:t>
      </w:r>
      <w:r>
        <w:t xml:space="preserve">both First Nations and </w:t>
      </w:r>
      <w:r w:rsidRPr="009906B5">
        <w:t xml:space="preserve">remote communities and </w:t>
      </w:r>
      <w:r>
        <w:t xml:space="preserve">how </w:t>
      </w:r>
      <w:r w:rsidRPr="009906B5">
        <w:t>they can improve outcomes for participants</w:t>
      </w:r>
      <w:r>
        <w:t xml:space="preserve"> in these communities</w:t>
      </w:r>
      <w:r w:rsidRPr="009906B5">
        <w:t>.</w:t>
      </w:r>
      <w:r w:rsidR="00D75619">
        <w:br w:type="page"/>
      </w:r>
    </w:p>
    <w:p w14:paraId="60BCE2E5" w14:textId="0232394C" w:rsidR="00272813" w:rsidRDefault="00272813" w:rsidP="00715FBF">
      <w:pPr>
        <w:pStyle w:val="B3-Heading3"/>
        <w:outlineLvl w:val="2"/>
      </w:pPr>
      <w:r w:rsidRPr="00D75619">
        <w:rPr>
          <w:b w:val="0"/>
          <w:i/>
        </w:rPr>
        <w:lastRenderedPageBreak/>
        <w:t>Recom</w:t>
      </w:r>
      <w:r w:rsidR="00D75619" w:rsidRPr="00D75619">
        <w:rPr>
          <w:b w:val="0"/>
          <w:i/>
        </w:rPr>
        <w:t>mendation 1</w:t>
      </w:r>
      <w:r w:rsidR="00D75619">
        <w:br/>
      </w:r>
      <w:r w:rsidRPr="00587169">
        <w:t>Working in partnership with Fi</w:t>
      </w:r>
      <w:r w:rsidR="00D75619">
        <w:t>rst Nations representatives and</w:t>
      </w:r>
      <w:r w:rsidR="00D75619">
        <w:br/>
      </w:r>
      <w:r>
        <w:t xml:space="preserve">remote </w:t>
      </w:r>
      <w:r w:rsidRPr="00587169">
        <w:t xml:space="preserve">communities to </w:t>
      </w:r>
      <w:r>
        <w:t>roll out</w:t>
      </w:r>
      <w:r w:rsidRPr="00587169">
        <w:t xml:space="preserve"> alternative commissioning approaches</w:t>
      </w:r>
    </w:p>
    <w:p w14:paraId="49594687" w14:textId="77777777" w:rsidR="00272813" w:rsidRPr="00587169" w:rsidRDefault="00272813" w:rsidP="00D75619">
      <w:pPr>
        <w:pStyle w:val="B3-Body"/>
      </w:pPr>
      <w:r w:rsidRPr="00587169">
        <w:t>The NDIA should partner with First Nations representatives, communities</w:t>
      </w:r>
      <w:r>
        <w:t>, participants</w:t>
      </w:r>
      <w:r w:rsidRPr="00587169">
        <w:t xml:space="preserve"> and other go</w:t>
      </w:r>
      <w:r>
        <w:t xml:space="preserve">vernment agencies to progressively roll </w:t>
      </w:r>
      <w:r w:rsidRPr="00587169">
        <w:t xml:space="preserve">out alternative commissioning arrangements for </w:t>
      </w:r>
      <w:r>
        <w:t xml:space="preserve">both </w:t>
      </w:r>
      <w:r w:rsidRPr="00587169">
        <w:t xml:space="preserve">First Nations </w:t>
      </w:r>
      <w:r>
        <w:t xml:space="preserve">communities </w:t>
      </w:r>
      <w:r w:rsidRPr="00587169">
        <w:t>and remote communities</w:t>
      </w:r>
      <w:r>
        <w:t xml:space="preserve">, starting as soon as possible. </w:t>
      </w:r>
    </w:p>
    <w:p w14:paraId="00F392FF" w14:textId="77777777" w:rsidR="00272813" w:rsidRPr="00587169" w:rsidRDefault="00272813" w:rsidP="00D75619">
      <w:pPr>
        <w:pStyle w:val="B3-Body"/>
      </w:pPr>
      <w:r w:rsidRPr="00587169">
        <w:t>The alternative commissioning approaches should be designed in partnership with First Nations representatives</w:t>
      </w:r>
      <w:r>
        <w:t>,</w:t>
      </w:r>
      <w:r w:rsidRPr="00587169">
        <w:t xml:space="preserve"> communities</w:t>
      </w:r>
      <w:r>
        <w:t xml:space="preserve"> and participants</w:t>
      </w:r>
      <w:r w:rsidRPr="00587169">
        <w:t xml:space="preserve">, and should be: </w:t>
      </w:r>
    </w:p>
    <w:p w14:paraId="1B5AEDF9" w14:textId="77777777" w:rsidR="00272813" w:rsidRPr="00587169" w:rsidRDefault="00272813" w:rsidP="00D75619">
      <w:pPr>
        <w:pStyle w:val="B3-Listbullets"/>
      </w:pPr>
      <w:r w:rsidRPr="00587169">
        <w:t xml:space="preserve">underpinned by governance structures that share decision-making power with </w:t>
      </w:r>
      <w:r>
        <w:t xml:space="preserve">communities – including </w:t>
      </w:r>
      <w:r w:rsidRPr="00587169">
        <w:t>First Nations representatives</w:t>
      </w:r>
      <w:r>
        <w:t xml:space="preserve"> in non-remote communities</w:t>
      </w:r>
      <w:r w:rsidRPr="00587169">
        <w:t xml:space="preserve"> </w:t>
      </w:r>
      <w:r>
        <w:t xml:space="preserve">as well as remote </w:t>
      </w:r>
      <w:r w:rsidRPr="00587169">
        <w:t>communit</w:t>
      </w:r>
      <w:r>
        <w:t>y representatives (which also encompasses the non-Indigenous local population)</w:t>
      </w:r>
    </w:p>
    <w:p w14:paraId="0A6818D1" w14:textId="77777777" w:rsidR="00272813" w:rsidRDefault="00272813" w:rsidP="00D75619">
      <w:pPr>
        <w:pStyle w:val="B3-Listbullets"/>
      </w:pPr>
      <w:r w:rsidRPr="00587169">
        <w:t xml:space="preserve">based on </w:t>
      </w:r>
      <w:r>
        <w:t xml:space="preserve">a </w:t>
      </w:r>
      <w:r w:rsidRPr="00587169">
        <w:t>commissioning cycle that:</w:t>
      </w:r>
    </w:p>
    <w:p w14:paraId="568CC11C" w14:textId="24B0E2D9" w:rsidR="00272813" w:rsidRPr="004041D6" w:rsidRDefault="00272813" w:rsidP="00C93980">
      <w:pPr>
        <w:pStyle w:val="B3-Listbullets"/>
        <w:numPr>
          <w:ilvl w:val="0"/>
          <w:numId w:val="14"/>
        </w:numPr>
      </w:pPr>
      <w:r w:rsidRPr="004041D6">
        <w:t>is underpinned by an understanding of community strengths and preferences</w:t>
      </w:r>
    </w:p>
    <w:p w14:paraId="70D933AF" w14:textId="55045877" w:rsidR="00272813" w:rsidRPr="004041D6" w:rsidRDefault="00272813" w:rsidP="00C93980">
      <w:pPr>
        <w:pStyle w:val="B3-Listbullets"/>
        <w:numPr>
          <w:ilvl w:val="0"/>
          <w:numId w:val="14"/>
        </w:numPr>
      </w:pPr>
      <w:r w:rsidRPr="004041D6">
        <w:t>explores and designs commissioning approaches on a case-by-case basis with communities. This could include models of direct and community-led commissioning approaches as well as integrated commissioning (where a provider is commissioned to provide supports across multiple services types)</w:t>
      </w:r>
    </w:p>
    <w:p w14:paraId="57A0C74B" w14:textId="5F9A0E84" w:rsidR="00272813" w:rsidRPr="004041D6" w:rsidRDefault="00272813" w:rsidP="00C93980">
      <w:pPr>
        <w:pStyle w:val="B3-Listbullets"/>
        <w:numPr>
          <w:ilvl w:val="0"/>
          <w:numId w:val="14"/>
        </w:numPr>
      </w:pPr>
      <w:r w:rsidRPr="004041D6">
        <w:t xml:space="preserve">provides culturally appropriate, outcome-based commissioning processes and enablers, and </w:t>
      </w:r>
    </w:p>
    <w:p w14:paraId="4E0A78DD" w14:textId="556375B9" w:rsidR="00272813" w:rsidRPr="004041D6" w:rsidRDefault="00272813" w:rsidP="00C93980">
      <w:pPr>
        <w:pStyle w:val="B3-Listbullets"/>
        <w:numPr>
          <w:ilvl w:val="0"/>
          <w:numId w:val="14"/>
        </w:numPr>
      </w:pPr>
      <w:r w:rsidRPr="004041D6">
        <w:t>uses practical and community-driven processes to collect data and evaluate outcomes.</w:t>
      </w:r>
    </w:p>
    <w:p w14:paraId="02CB905A" w14:textId="77777777" w:rsidR="00272813" w:rsidRPr="003B3E20" w:rsidRDefault="00272813" w:rsidP="00D75619">
      <w:pPr>
        <w:pStyle w:val="B3-Body"/>
        <w:rPr>
          <w:color w:val="FF0000"/>
        </w:rPr>
      </w:pPr>
      <w:r>
        <w:t xml:space="preserve">A progressive roll </w:t>
      </w:r>
      <w:r w:rsidRPr="00587169">
        <w:t xml:space="preserve">out of alternative commissioning approaches should commence with pilots </w:t>
      </w:r>
      <w:r>
        <w:t>in selected communities. Pilots</w:t>
      </w:r>
      <w:r w:rsidRPr="00587169">
        <w:t xml:space="preserve"> should be evaluated in partnership with communities</w:t>
      </w:r>
      <w:r>
        <w:t xml:space="preserve">. </w:t>
      </w:r>
    </w:p>
    <w:p w14:paraId="566D8CE8" w14:textId="77777777" w:rsidR="00272813" w:rsidRDefault="00272813" w:rsidP="00D75619">
      <w:pPr>
        <w:pStyle w:val="B3-Body"/>
      </w:pPr>
      <w:r>
        <w:t>The evaluation should inform the wider roll out of alternative commissioning by drawing out lessons on how to build the capability of communities and governments as commissioners and the types of alternative commissioning approaches that work best. This should include considering the effectiveness of</w:t>
      </w:r>
      <w:r w:rsidRPr="00227209">
        <w:t xml:space="preserve"> integrating commissioning</w:t>
      </w:r>
      <w:r>
        <w:t xml:space="preserve"> </w:t>
      </w:r>
      <w:r w:rsidRPr="00227209">
        <w:t>for remote participants.</w:t>
      </w:r>
    </w:p>
    <w:p w14:paraId="3E0C0239" w14:textId="77777777" w:rsidR="00D75619" w:rsidRDefault="00272813" w:rsidP="00D75619">
      <w:r w:rsidRPr="00D75619">
        <w:t>Over time, communities should be supported to buy and coordinate the supports for themselves. Communities would design the approach and lead the commissioning process</w:t>
      </w:r>
      <w:r>
        <w:t>.</w:t>
      </w:r>
      <w:r w:rsidR="00151263">
        <w:br w:type="page"/>
      </w:r>
      <w:bookmarkStart w:id="102" w:name="_Toc125040836"/>
      <w:bookmarkStart w:id="103" w:name="_Toc136350278"/>
    </w:p>
    <w:p w14:paraId="3B914F2A" w14:textId="0AFD9A10" w:rsidR="00D75619" w:rsidRDefault="00D75619" w:rsidP="00D75619">
      <w:pPr>
        <w:pStyle w:val="Heading2"/>
      </w:pPr>
      <w:bookmarkStart w:id="104" w:name="_Toc136522400"/>
      <w:r>
        <w:lastRenderedPageBreak/>
        <w:t>5. Next steps</w:t>
      </w:r>
      <w:bookmarkEnd w:id="102"/>
      <w:bookmarkEnd w:id="103"/>
      <w:bookmarkEnd w:id="104"/>
    </w:p>
    <w:p w14:paraId="5096D7A6" w14:textId="77777777" w:rsidR="00D75619" w:rsidRPr="00715FBF" w:rsidRDefault="00D75619" w:rsidP="00715FBF">
      <w:pPr>
        <w:pStyle w:val="Heading3"/>
        <w:rPr>
          <w:sz w:val="24"/>
          <w:szCs w:val="24"/>
        </w:rPr>
      </w:pPr>
      <w:bookmarkStart w:id="105" w:name="_Toc124362734"/>
      <w:bookmarkStart w:id="106" w:name="_Toc124412363"/>
      <w:bookmarkStart w:id="107" w:name="_Toc124424848"/>
      <w:r w:rsidRPr="00715FBF">
        <w:rPr>
          <w:sz w:val="24"/>
          <w:szCs w:val="24"/>
        </w:rPr>
        <w:t xml:space="preserve">The Review will leverage existing relationships with both First Nations and remote communities </w:t>
      </w:r>
      <w:bookmarkEnd w:id="105"/>
      <w:bookmarkEnd w:id="106"/>
      <w:bookmarkEnd w:id="107"/>
      <w:r w:rsidRPr="00715FBF">
        <w:rPr>
          <w:sz w:val="24"/>
          <w:szCs w:val="24"/>
        </w:rPr>
        <w:t>to design the elements and enablers of alternative commissioning approaches.</w:t>
      </w:r>
    </w:p>
    <w:p w14:paraId="45DBC988" w14:textId="77777777" w:rsidR="00D75619" w:rsidRDefault="00D75619" w:rsidP="00D75619">
      <w:pPr>
        <w:keepNext/>
        <w:keepLines/>
      </w:pPr>
      <w:r>
        <w:t xml:space="preserve">The NDIS Review will provide initial support and guidance to governments and the NDIA to help build capacity to progressively roll out alternative commissioning approaches. </w:t>
      </w:r>
    </w:p>
    <w:p w14:paraId="1BCF3229" w14:textId="77777777" w:rsidR="00D75619" w:rsidRDefault="00D75619" w:rsidP="00D75619">
      <w:pPr>
        <w:pStyle w:val="Listbullets-Level1"/>
        <w:rPr>
          <w:b/>
        </w:rPr>
      </w:pPr>
      <w:r w:rsidRPr="00142BE9">
        <w:t xml:space="preserve">Throughout 2023, </w:t>
      </w:r>
      <w:r>
        <w:t>we</w:t>
      </w:r>
      <w:r w:rsidRPr="00142BE9">
        <w:t xml:space="preserve"> will work in</w:t>
      </w:r>
      <w:r>
        <w:t xml:space="preserve"> </w:t>
      </w:r>
      <w:r w:rsidRPr="00142BE9">
        <w:t xml:space="preserve">partnership with </w:t>
      </w:r>
      <w:r>
        <w:t>governments</w:t>
      </w:r>
      <w:r w:rsidRPr="00142BE9">
        <w:t>, First Nations representatives and</w:t>
      </w:r>
      <w:r>
        <w:t xml:space="preserve"> </w:t>
      </w:r>
      <w:r w:rsidRPr="00142BE9">
        <w:t xml:space="preserve">communities to design the </w:t>
      </w:r>
      <w:r>
        <w:t xml:space="preserve">elements and enablers of the alternative commissioning cycle and work with the NDIA to start some pilots in selected communities </w:t>
      </w:r>
      <w:r w:rsidRPr="00F6793A">
        <w:t>(</w:t>
      </w:r>
      <w:r w:rsidRPr="00F6793A">
        <w:rPr>
          <w:b/>
        </w:rPr>
        <w:fldChar w:fldCharType="begin"/>
      </w:r>
      <w:r w:rsidRPr="00F6793A">
        <w:instrText xml:space="preserve"> REF _Ref125356660 \h  \* MERGEFORMAT </w:instrText>
      </w:r>
      <w:r w:rsidRPr="00F6793A">
        <w:rPr>
          <w:b/>
        </w:rPr>
      </w:r>
      <w:r w:rsidRPr="00F6793A">
        <w:rPr>
          <w:b/>
        </w:rPr>
        <w:fldChar w:fldCharType="separate"/>
      </w:r>
      <w:r w:rsidRPr="00F6793A">
        <w:t xml:space="preserve">Figure </w:t>
      </w:r>
      <w:r w:rsidRPr="00F6793A">
        <w:rPr>
          <w:noProof/>
        </w:rPr>
        <w:t>14</w:t>
      </w:r>
      <w:r w:rsidRPr="00F6793A">
        <w:rPr>
          <w:b/>
        </w:rPr>
        <w:fldChar w:fldCharType="end"/>
      </w:r>
      <w:r w:rsidRPr="00B925F7">
        <w:t>)</w:t>
      </w:r>
    </w:p>
    <w:p w14:paraId="76C41ADE" w14:textId="77777777" w:rsidR="00D75619" w:rsidRPr="00CE0591" w:rsidRDefault="00D75619" w:rsidP="00D75619">
      <w:pPr>
        <w:pStyle w:val="Listbullets-Level2"/>
        <w:rPr>
          <w:b/>
        </w:rPr>
      </w:pPr>
      <w:r>
        <w:t>We will leverage the existing engagement and relationships that the NDIA has with First Nations representatives and communities</w:t>
      </w:r>
      <w:r w:rsidRPr="00CE0591">
        <w:t xml:space="preserve"> to ensure partnerships continue after the NDIS Review.</w:t>
      </w:r>
      <w:r w:rsidRPr="000C49E3">
        <w:t xml:space="preserve"> </w:t>
      </w:r>
    </w:p>
    <w:p w14:paraId="5C47BDE5" w14:textId="77777777" w:rsidR="00D75619" w:rsidRDefault="00D75619" w:rsidP="00D75619">
      <w:pPr>
        <w:pStyle w:val="Listbullets-Level1"/>
        <w:rPr>
          <w:b/>
        </w:rPr>
      </w:pPr>
      <w:r>
        <w:t xml:space="preserve">At the end of the Review, </w:t>
      </w:r>
      <w:r w:rsidRPr="00142BE9">
        <w:t xml:space="preserve">the NDIA </w:t>
      </w:r>
      <w:r>
        <w:t>would</w:t>
      </w:r>
      <w:r w:rsidRPr="00142BE9">
        <w:t xml:space="preserve"> </w:t>
      </w:r>
      <w:r>
        <w:t xml:space="preserve">continue </w:t>
      </w:r>
      <w:r w:rsidRPr="00142BE9">
        <w:t xml:space="preserve">working in partnership with </w:t>
      </w:r>
      <w:r>
        <w:t>First Nations communities and remote</w:t>
      </w:r>
      <w:r w:rsidRPr="00142BE9">
        <w:t xml:space="preserve"> </w:t>
      </w:r>
      <w:r w:rsidRPr="00A81E7B">
        <w:t xml:space="preserve">communities </w:t>
      </w:r>
      <w:r>
        <w:t>who contributed to the design of the alternative commissioning cycle. Depending on the preferences of specific communities, this could include</w:t>
      </w:r>
      <w:r w:rsidDel="00FC0111">
        <w:t xml:space="preserve"> </w:t>
      </w:r>
      <w:r>
        <w:t>continuing work to progress further alternative commissioning pilots</w:t>
      </w:r>
      <w:r w:rsidRPr="00142BE9">
        <w:t>.</w:t>
      </w:r>
    </w:p>
    <w:p w14:paraId="474CCEC9" w14:textId="77777777" w:rsidR="00D75619" w:rsidRPr="00715FBF" w:rsidRDefault="00D75619" w:rsidP="00715FBF">
      <w:pPr>
        <w:pStyle w:val="Heading3"/>
        <w:rPr>
          <w:sz w:val="24"/>
          <w:szCs w:val="24"/>
        </w:rPr>
      </w:pPr>
      <w:r w:rsidRPr="00715FBF">
        <w:rPr>
          <w:sz w:val="24"/>
          <w:szCs w:val="24"/>
        </w:rPr>
        <w:t xml:space="preserve">The Review will also continue to consult on other market challenges </w:t>
      </w:r>
    </w:p>
    <w:p w14:paraId="68A5D1A1" w14:textId="77777777" w:rsidR="00D75619" w:rsidRPr="00B74DB6" w:rsidRDefault="00D75619" w:rsidP="00D75619">
      <w:r>
        <w:t>As outlined above, a range of other market challenges exists across the NDIS and a</w:t>
      </w:r>
      <w:r w:rsidRPr="00B74DB6">
        <w:t xml:space="preserve"> more active and flexible role for governments as stewards of the NDIS market is needed to address persistent market challenges. </w:t>
      </w:r>
    </w:p>
    <w:p w14:paraId="09899AEC" w14:textId="62181858" w:rsidR="00D75619" w:rsidRDefault="00D75619" w:rsidP="00D75619">
      <w:r>
        <w:t>We</w:t>
      </w:r>
      <w:r w:rsidRPr="00B74DB6">
        <w:t xml:space="preserve"> will explore and </w:t>
      </w:r>
      <w:r>
        <w:t>consult</w:t>
      </w:r>
      <w:r w:rsidRPr="00B74DB6">
        <w:t xml:space="preserve"> on how to build on the learning</w:t>
      </w:r>
      <w:r>
        <w:t>s</w:t>
      </w:r>
      <w:r w:rsidRPr="00B74DB6">
        <w:t xml:space="preserve"> of the recent</w:t>
      </w:r>
      <w:r>
        <w:t xml:space="preserve"> NDIS</w:t>
      </w:r>
      <w:r w:rsidRPr="00B74DB6">
        <w:t xml:space="preserve"> thin market trials to consider how market coordination tools and other market mechanisms could be applied and scaled up in the NDIS. </w:t>
      </w:r>
    </w:p>
    <w:p w14:paraId="516AD0A5" w14:textId="77777777" w:rsidR="00D75619" w:rsidRDefault="00D75619">
      <w:pPr>
        <w:spacing w:after="200" w:line="288" w:lineRule="auto"/>
      </w:pPr>
      <w:r>
        <w:br w:type="page"/>
      </w:r>
    </w:p>
    <w:p w14:paraId="7D3B2C1C" w14:textId="177CEE14" w:rsidR="002D26D4" w:rsidRDefault="00D75619" w:rsidP="00D75619">
      <w:pPr>
        <w:pStyle w:val="Heading2"/>
        <w:rPr>
          <w:rStyle w:val="field"/>
        </w:rPr>
      </w:pPr>
      <w:bookmarkStart w:id="108" w:name="_Toc136522401"/>
      <w:r>
        <w:rPr>
          <w:rStyle w:val="field"/>
        </w:rPr>
        <w:t xml:space="preserve">Appendix 1 – </w:t>
      </w:r>
      <w:r w:rsidR="00660427">
        <w:rPr>
          <w:rStyle w:val="field"/>
        </w:rPr>
        <w:t>Text descriptions</w:t>
      </w:r>
      <w:bookmarkEnd w:id="108"/>
    </w:p>
    <w:p w14:paraId="3AEA9895" w14:textId="4B58D80D" w:rsidR="008575D7" w:rsidRPr="0094053E" w:rsidRDefault="008575D7" w:rsidP="008575D7">
      <w:pPr>
        <w:pStyle w:val="Heading3"/>
        <w:rPr>
          <w:sz w:val="24"/>
          <w:szCs w:val="24"/>
        </w:rPr>
      </w:pPr>
      <w:bookmarkStart w:id="109" w:name="_Figure_1_-"/>
      <w:bookmarkEnd w:id="109"/>
      <w:r w:rsidRPr="0094053E">
        <w:rPr>
          <w:sz w:val="24"/>
          <w:szCs w:val="24"/>
        </w:rPr>
        <w:t>Figure 1 - Q</w:t>
      </w:r>
      <w:r w:rsidR="0094053E">
        <w:rPr>
          <w:sz w:val="24"/>
          <w:szCs w:val="24"/>
          <w:lang w:val="en-US"/>
        </w:rPr>
        <w:t>uotes</w:t>
      </w:r>
      <w:r w:rsidRPr="0094053E">
        <w:rPr>
          <w:sz w:val="24"/>
          <w:szCs w:val="24"/>
          <w:lang w:val="en-US"/>
        </w:rPr>
        <w:t xml:space="preserve"> from past reviews </w:t>
      </w:r>
      <w:r w:rsidR="00961D30">
        <w:rPr>
          <w:sz w:val="24"/>
          <w:szCs w:val="24"/>
          <w:lang w:val="en-US"/>
        </w:rPr>
        <w:t>and</w:t>
      </w:r>
      <w:r w:rsidR="00961D30" w:rsidRPr="0094053E">
        <w:rPr>
          <w:sz w:val="24"/>
          <w:szCs w:val="24"/>
          <w:lang w:val="en-US"/>
        </w:rPr>
        <w:t xml:space="preserve"> </w:t>
      </w:r>
      <w:r w:rsidRPr="0094053E">
        <w:rPr>
          <w:sz w:val="24"/>
          <w:szCs w:val="24"/>
          <w:lang w:val="en-US"/>
        </w:rPr>
        <w:t>inquiries about challenges in NDIS market</w:t>
      </w:r>
    </w:p>
    <w:p w14:paraId="2DDFDD7E" w14:textId="26628D8C" w:rsidR="0094053E" w:rsidRPr="0094053E" w:rsidRDefault="0094053E" w:rsidP="0094053E">
      <w:r w:rsidRPr="00F55D8C">
        <w:rPr>
          <w:lang w:val="en-US"/>
        </w:rPr>
        <w:t>Figure 1 has 6 speech bubbles outlining key challenges in the NDIS market.</w:t>
      </w:r>
      <w:r w:rsidRPr="0094053E">
        <w:rPr>
          <w:lang w:val="en-US"/>
        </w:rPr>
        <w:t xml:space="preserve"> </w:t>
      </w:r>
    </w:p>
    <w:p w14:paraId="0040F961" w14:textId="77777777" w:rsidR="0094053E" w:rsidRPr="0094053E" w:rsidRDefault="0094053E" w:rsidP="0094053E">
      <w:r w:rsidRPr="0094053E">
        <w:rPr>
          <w:lang w:val="en-US"/>
        </w:rPr>
        <w:t>Six key challenges have been highlighted in past reviews of the NDIS, and are still issues in the current NDIS.</w:t>
      </w:r>
    </w:p>
    <w:p w14:paraId="57ABA01B" w14:textId="77777777" w:rsidR="0094053E" w:rsidRPr="0094053E" w:rsidRDefault="0094053E" w:rsidP="0094053E">
      <w:r w:rsidRPr="0094053E">
        <w:rPr>
          <w:lang w:val="en-US"/>
        </w:rPr>
        <w:t xml:space="preserve">These include: </w:t>
      </w:r>
    </w:p>
    <w:p w14:paraId="6E2A098B" w14:textId="0735CAE3" w:rsidR="0094053E" w:rsidRPr="0094053E" w:rsidRDefault="0094053E" w:rsidP="00C93980">
      <w:pPr>
        <w:pStyle w:val="Listnumbers-Level1"/>
        <w:numPr>
          <w:ilvl w:val="0"/>
          <w:numId w:val="15"/>
        </w:numPr>
      </w:pPr>
      <w:r w:rsidRPr="0094053E">
        <w:rPr>
          <w:lang w:val="en-US"/>
        </w:rPr>
        <w:t>Limited access to supports in remote and very remote areas</w:t>
      </w:r>
    </w:p>
    <w:p w14:paraId="5DBD0AA3" w14:textId="3B5572A3" w:rsidR="0094053E" w:rsidRPr="0094053E" w:rsidRDefault="0094053E" w:rsidP="0094053E">
      <w:pPr>
        <w:pStyle w:val="Listnumbers-Level1"/>
      </w:pPr>
      <w:r w:rsidRPr="0094053E">
        <w:rPr>
          <w:lang w:val="en-US"/>
        </w:rPr>
        <w:t>Lack of culturally appropriate care for First Nations communities</w:t>
      </w:r>
    </w:p>
    <w:p w14:paraId="384DF3D8" w14:textId="0FC392CA" w:rsidR="0094053E" w:rsidRPr="0094053E" w:rsidRDefault="0094053E" w:rsidP="0094053E">
      <w:pPr>
        <w:pStyle w:val="Listnumbers-Level1"/>
      </w:pPr>
      <w:r w:rsidRPr="0094053E">
        <w:rPr>
          <w:lang w:val="en-US"/>
        </w:rPr>
        <w:t>Shortages of some supports in non-remote communities, particularly specialised services</w:t>
      </w:r>
    </w:p>
    <w:p w14:paraId="21907D23" w14:textId="28F36B95" w:rsidR="0094053E" w:rsidRPr="0094053E" w:rsidRDefault="0094053E" w:rsidP="0094053E">
      <w:pPr>
        <w:pStyle w:val="Listnumbers-Level1"/>
      </w:pPr>
      <w:r w:rsidRPr="0094053E">
        <w:rPr>
          <w:lang w:val="en-US"/>
        </w:rPr>
        <w:t>Some participants (with complex needs) are being left behind</w:t>
      </w:r>
    </w:p>
    <w:p w14:paraId="3F1D6F1F" w14:textId="4FDEA3C8" w:rsidR="0094053E" w:rsidRPr="0094053E" w:rsidRDefault="0094053E" w:rsidP="0094053E">
      <w:pPr>
        <w:pStyle w:val="Listnumbers-Level1"/>
      </w:pPr>
      <w:r w:rsidRPr="0094053E">
        <w:rPr>
          <w:lang w:val="en-US"/>
        </w:rPr>
        <w:t>Limited capability of NDIA to identify thin markets</w:t>
      </w:r>
    </w:p>
    <w:p w14:paraId="673CD612" w14:textId="42F9375D" w:rsidR="0094053E" w:rsidRPr="0094053E" w:rsidRDefault="0094053E" w:rsidP="0094053E">
      <w:pPr>
        <w:pStyle w:val="Listnumbers-Level1"/>
      </w:pPr>
      <w:r w:rsidRPr="0094053E">
        <w:rPr>
          <w:lang w:val="en-US"/>
        </w:rPr>
        <w:t xml:space="preserve">Unclear protection of participants </w:t>
      </w:r>
      <w:r w:rsidR="00937E52" w:rsidRPr="0094053E">
        <w:rPr>
          <w:lang w:val="en-US"/>
        </w:rPr>
        <w:t>against</w:t>
      </w:r>
      <w:r w:rsidRPr="0094053E">
        <w:rPr>
          <w:lang w:val="en-US"/>
        </w:rPr>
        <w:t xml:space="preserve"> market failure.</w:t>
      </w:r>
    </w:p>
    <w:p w14:paraId="70BCDF00" w14:textId="10A03CA2" w:rsidR="00D75619" w:rsidRDefault="00050BFB" w:rsidP="0094053E">
      <w:hyperlink w:anchor="fig1" w:history="1">
        <w:r w:rsidR="0094053E" w:rsidRPr="0094053E">
          <w:rPr>
            <w:rStyle w:val="Hyperlink"/>
            <w:rFonts w:asciiTheme="minorHAnsi" w:hAnsiTheme="minorHAnsi"/>
          </w:rPr>
          <w:t>Return to Figure 1</w:t>
        </w:r>
      </w:hyperlink>
    </w:p>
    <w:p w14:paraId="123868BE" w14:textId="5F9C0A32" w:rsidR="0094053E" w:rsidRPr="0094053E" w:rsidRDefault="0094053E" w:rsidP="0094053E">
      <w:pPr>
        <w:pStyle w:val="Heading3"/>
        <w:rPr>
          <w:sz w:val="24"/>
          <w:szCs w:val="24"/>
        </w:rPr>
      </w:pPr>
      <w:bookmarkStart w:id="110" w:name="_Figure_2_-"/>
      <w:bookmarkEnd w:id="110"/>
      <w:r>
        <w:rPr>
          <w:sz w:val="24"/>
          <w:szCs w:val="24"/>
          <w:lang w:val="en-US"/>
        </w:rPr>
        <w:t>Figure 2</w:t>
      </w:r>
      <w:r w:rsidRPr="0094053E">
        <w:rPr>
          <w:sz w:val="24"/>
          <w:szCs w:val="24"/>
          <w:lang w:val="en-US"/>
        </w:rPr>
        <w:t xml:space="preserve"> - Data on mature participants who at still not accessing the supports they need</w:t>
      </w:r>
    </w:p>
    <w:p w14:paraId="43B8C5DB" w14:textId="77777777" w:rsidR="0094053E" w:rsidRPr="0094053E" w:rsidRDefault="0094053E" w:rsidP="0094053E">
      <w:r w:rsidRPr="0094053E">
        <w:rPr>
          <w:lang w:val="en-US"/>
        </w:rPr>
        <w:t>Mature participants are those who have been in NDIS for over a year.</w:t>
      </w:r>
    </w:p>
    <w:p w14:paraId="228B4B16" w14:textId="77777777" w:rsidR="0094053E" w:rsidRPr="0094053E" w:rsidRDefault="0094053E" w:rsidP="0094053E">
      <w:r w:rsidRPr="0094053E">
        <w:rPr>
          <w:lang w:val="en-US"/>
        </w:rPr>
        <w:t>The following percentage of mature participants had a budget for daily activity supports but did not claim any supports during 1 July 2022 to 30 September:</w:t>
      </w:r>
    </w:p>
    <w:p w14:paraId="54CC4D61" w14:textId="0D160B36" w:rsidR="0094053E" w:rsidRPr="0094053E" w:rsidRDefault="0094053E" w:rsidP="00715FBF">
      <w:pPr>
        <w:pStyle w:val="Listbullets-Level1"/>
      </w:pPr>
      <w:r w:rsidRPr="0094053E">
        <w:rPr>
          <w:lang w:val="en-US"/>
        </w:rPr>
        <w:t>23% in metropolitan areas</w:t>
      </w:r>
    </w:p>
    <w:p w14:paraId="3CC15988" w14:textId="73C4CD6B" w:rsidR="0094053E" w:rsidRPr="0094053E" w:rsidRDefault="0094053E" w:rsidP="00715FBF">
      <w:pPr>
        <w:pStyle w:val="Listbullets-Level1"/>
      </w:pPr>
      <w:r w:rsidRPr="0094053E">
        <w:rPr>
          <w:lang w:val="en-US"/>
        </w:rPr>
        <w:t>26% in regional areas</w:t>
      </w:r>
    </w:p>
    <w:p w14:paraId="60948155" w14:textId="7E068AD1" w:rsidR="0094053E" w:rsidRPr="0094053E" w:rsidRDefault="0094053E" w:rsidP="00715FBF">
      <w:pPr>
        <w:pStyle w:val="Listbullets-Level1"/>
      </w:pPr>
      <w:r w:rsidRPr="0094053E">
        <w:rPr>
          <w:lang w:val="en-US"/>
        </w:rPr>
        <w:t>34% in remote areas</w:t>
      </w:r>
    </w:p>
    <w:p w14:paraId="3C328C4C" w14:textId="2010B34A" w:rsidR="0094053E" w:rsidRPr="0094053E" w:rsidRDefault="0094053E" w:rsidP="00715FBF">
      <w:pPr>
        <w:pStyle w:val="Listbullets-Level1"/>
      </w:pPr>
      <w:r w:rsidRPr="0094053E">
        <w:rPr>
          <w:lang w:val="en-US"/>
        </w:rPr>
        <w:t>36% in very remote areas.</w:t>
      </w:r>
    </w:p>
    <w:p w14:paraId="7A3D0118" w14:textId="77777777" w:rsidR="0094053E" w:rsidRPr="0094053E" w:rsidRDefault="0094053E" w:rsidP="0094053E">
      <w:r w:rsidRPr="0094053E">
        <w:rPr>
          <w:lang w:val="en-US"/>
        </w:rPr>
        <w:t>The following percentage of mature participants had a budget for therapy supports but did not claim any supports during 1 July 2022 to 30 September:</w:t>
      </w:r>
    </w:p>
    <w:p w14:paraId="115FEC7C" w14:textId="274C1FE2" w:rsidR="0094053E" w:rsidRPr="0094053E" w:rsidRDefault="0094053E" w:rsidP="00715FBF">
      <w:pPr>
        <w:pStyle w:val="Listbullets-Level1"/>
      </w:pPr>
      <w:r w:rsidRPr="0094053E">
        <w:rPr>
          <w:lang w:val="en-US"/>
        </w:rPr>
        <w:t>24% in metropolitan areas</w:t>
      </w:r>
    </w:p>
    <w:p w14:paraId="280000C7" w14:textId="07EA8F73" w:rsidR="0094053E" w:rsidRPr="0094053E" w:rsidRDefault="0094053E" w:rsidP="00715FBF">
      <w:pPr>
        <w:pStyle w:val="Listbullets-Level1"/>
      </w:pPr>
      <w:r w:rsidRPr="0094053E">
        <w:rPr>
          <w:lang w:val="en-US"/>
        </w:rPr>
        <w:t>31% in regional areas</w:t>
      </w:r>
    </w:p>
    <w:p w14:paraId="232AA0D2" w14:textId="5602BA1E" w:rsidR="0094053E" w:rsidRPr="0094053E" w:rsidRDefault="0094053E" w:rsidP="00715FBF">
      <w:pPr>
        <w:pStyle w:val="Listbullets-Level1"/>
      </w:pPr>
      <w:r w:rsidRPr="0094053E">
        <w:rPr>
          <w:lang w:val="en-US"/>
        </w:rPr>
        <w:t>32% in remote areas</w:t>
      </w:r>
    </w:p>
    <w:p w14:paraId="3568598D" w14:textId="5CBE5441" w:rsidR="0094053E" w:rsidRDefault="0094053E" w:rsidP="00715FBF">
      <w:pPr>
        <w:pStyle w:val="Listbullets-Level1"/>
        <w:rPr>
          <w:lang w:val="en-US"/>
        </w:rPr>
      </w:pPr>
      <w:r w:rsidRPr="0094053E">
        <w:rPr>
          <w:lang w:val="en-US"/>
        </w:rPr>
        <w:t>37% in very remote areas.</w:t>
      </w:r>
    </w:p>
    <w:p w14:paraId="44C27E8C" w14:textId="5B02C324" w:rsidR="0094053E" w:rsidRPr="0094053E" w:rsidRDefault="00050BFB" w:rsidP="0094053E">
      <w:hyperlink w:anchor="fig2" w:history="1">
        <w:r w:rsidR="0094053E" w:rsidRPr="0094053E">
          <w:rPr>
            <w:rStyle w:val="Hyperlink"/>
            <w:rFonts w:asciiTheme="minorHAnsi" w:hAnsiTheme="minorHAnsi"/>
            <w:lang w:val="en-US"/>
          </w:rPr>
          <w:t>Return to Figure 2</w:t>
        </w:r>
      </w:hyperlink>
    </w:p>
    <w:p w14:paraId="570E958C" w14:textId="3CD35FA2" w:rsidR="0058742C" w:rsidRPr="0058742C" w:rsidRDefault="0058742C" w:rsidP="0058742C">
      <w:pPr>
        <w:pStyle w:val="Heading3"/>
        <w:rPr>
          <w:sz w:val="24"/>
          <w:szCs w:val="24"/>
        </w:rPr>
      </w:pPr>
      <w:bookmarkStart w:id="111" w:name="_Figure_4_-SmartArt"/>
      <w:bookmarkEnd w:id="111"/>
      <w:r w:rsidRPr="0058742C">
        <w:rPr>
          <w:sz w:val="24"/>
          <w:szCs w:val="24"/>
          <w:lang w:val="en-US"/>
        </w:rPr>
        <w:lastRenderedPageBreak/>
        <w:t>Figure 4 -</w:t>
      </w:r>
      <w:r>
        <w:rPr>
          <w:sz w:val="24"/>
          <w:szCs w:val="24"/>
          <w:lang w:val="en-US"/>
        </w:rPr>
        <w:t xml:space="preserve"> </w:t>
      </w:r>
      <w:r w:rsidR="00FE77C5">
        <w:rPr>
          <w:sz w:val="24"/>
          <w:szCs w:val="24"/>
          <w:lang w:val="en-US"/>
        </w:rPr>
        <w:t>K</w:t>
      </w:r>
      <w:r w:rsidRPr="0058742C">
        <w:rPr>
          <w:sz w:val="24"/>
          <w:szCs w:val="24"/>
          <w:lang w:val="en-US"/>
        </w:rPr>
        <w:t>ey characteristics for designing effective delivery approaches for social services</w:t>
      </w:r>
    </w:p>
    <w:p w14:paraId="658C04CB" w14:textId="17610D55" w:rsidR="0058742C" w:rsidRPr="0058742C" w:rsidRDefault="0058742C" w:rsidP="0058742C">
      <w:r w:rsidRPr="0058742C">
        <w:rPr>
          <w:lang w:val="en-US"/>
        </w:rPr>
        <w:t>Participant characteristics include:</w:t>
      </w:r>
    </w:p>
    <w:p w14:paraId="47A0DBAD" w14:textId="374DD658" w:rsidR="0058742C" w:rsidRPr="0058742C" w:rsidRDefault="0058742C" w:rsidP="00715FBF">
      <w:pPr>
        <w:pStyle w:val="Listbullets-Level1"/>
      </w:pPr>
      <w:r w:rsidRPr="0058742C">
        <w:rPr>
          <w:lang w:val="en-US"/>
        </w:rPr>
        <w:t>Capability of participants to make informed choices</w:t>
      </w:r>
    </w:p>
    <w:p w14:paraId="01186653" w14:textId="4824CBE9" w:rsidR="0058742C" w:rsidRPr="0058742C" w:rsidRDefault="0058742C" w:rsidP="00715FBF">
      <w:pPr>
        <w:pStyle w:val="Listbullets-Level1"/>
      </w:pPr>
      <w:r w:rsidRPr="0058742C">
        <w:rPr>
          <w:lang w:val="en-US"/>
        </w:rPr>
        <w:t>Complexity of participant's support needs</w:t>
      </w:r>
    </w:p>
    <w:p w14:paraId="201A35E7" w14:textId="3114A742" w:rsidR="0058742C" w:rsidRPr="0058742C" w:rsidRDefault="0058742C" w:rsidP="00715FBF">
      <w:pPr>
        <w:pStyle w:val="Listbullets-Level1"/>
      </w:pPr>
      <w:r w:rsidRPr="0058742C">
        <w:rPr>
          <w:lang w:val="en-US"/>
        </w:rPr>
        <w:t>Where and how participants want to live</w:t>
      </w:r>
    </w:p>
    <w:p w14:paraId="289297CB" w14:textId="0D26D3FF" w:rsidR="0058742C" w:rsidRPr="0058742C" w:rsidRDefault="0058742C" w:rsidP="0058742C">
      <w:r w:rsidRPr="0058742C">
        <w:rPr>
          <w:lang w:val="en-US"/>
        </w:rPr>
        <w:t>Nature of supports include:</w:t>
      </w:r>
    </w:p>
    <w:p w14:paraId="1AD6008E" w14:textId="71718509" w:rsidR="0058742C" w:rsidRPr="0058742C" w:rsidRDefault="0058742C" w:rsidP="00715FBF">
      <w:pPr>
        <w:pStyle w:val="Listbullets-Level1"/>
      </w:pPr>
      <w:r w:rsidRPr="0058742C">
        <w:rPr>
          <w:lang w:val="en-US"/>
        </w:rPr>
        <w:t>importance of trusting providers</w:t>
      </w:r>
    </w:p>
    <w:p w14:paraId="1EE01374" w14:textId="0910CFA0" w:rsidR="0058742C" w:rsidRPr="0058742C" w:rsidRDefault="0058742C" w:rsidP="00715FBF">
      <w:pPr>
        <w:pStyle w:val="Listbullets-Level1"/>
      </w:pPr>
      <w:r w:rsidRPr="0058742C">
        <w:rPr>
          <w:lang w:val="en-US"/>
        </w:rPr>
        <w:t>importance of cultural safety</w:t>
      </w:r>
    </w:p>
    <w:p w14:paraId="15570C64" w14:textId="41E88B6E" w:rsidR="0058742C" w:rsidRPr="0058742C" w:rsidRDefault="0058742C" w:rsidP="00715FBF">
      <w:pPr>
        <w:pStyle w:val="Listbullets-Level1"/>
      </w:pPr>
      <w:r w:rsidRPr="0058742C">
        <w:rPr>
          <w:lang w:val="en-US"/>
        </w:rPr>
        <w:t>costs to find or switch providers</w:t>
      </w:r>
    </w:p>
    <w:p w14:paraId="47831FD9" w14:textId="32258052" w:rsidR="0058742C" w:rsidRPr="0058742C" w:rsidRDefault="0058742C" w:rsidP="00715FBF">
      <w:pPr>
        <w:pStyle w:val="Listbullets-Level1"/>
      </w:pPr>
      <w:r w:rsidRPr="0058742C">
        <w:rPr>
          <w:lang w:val="en-US"/>
        </w:rPr>
        <w:t>predictability, frequency, timing of support needs</w:t>
      </w:r>
    </w:p>
    <w:p w14:paraId="0C699CEB" w14:textId="48DF8FF4" w:rsidR="0058742C" w:rsidRPr="0058742C" w:rsidRDefault="0058742C" w:rsidP="00715FBF">
      <w:pPr>
        <w:pStyle w:val="Listbullets-Level1"/>
      </w:pPr>
      <w:r w:rsidRPr="0058742C">
        <w:rPr>
          <w:lang w:val="en-US"/>
        </w:rPr>
        <w:t>interdependent supports or possibilitiy to bundle.</w:t>
      </w:r>
    </w:p>
    <w:p w14:paraId="4AB58D55" w14:textId="04EE77CD" w:rsidR="0058742C" w:rsidRPr="0058742C" w:rsidRDefault="0058742C">
      <w:r w:rsidRPr="0058742C">
        <w:rPr>
          <w:lang w:val="en-US"/>
        </w:rPr>
        <w:t>Characteristics of ser</w:t>
      </w:r>
      <w:r w:rsidR="00CD520B">
        <w:rPr>
          <w:lang w:val="en-US"/>
        </w:rPr>
        <w:t>vice</w:t>
      </w:r>
      <w:r w:rsidRPr="0058742C">
        <w:rPr>
          <w:lang w:val="en-US"/>
        </w:rPr>
        <w:t xml:space="preserve"> providers include:</w:t>
      </w:r>
    </w:p>
    <w:p w14:paraId="31FBC4EE" w14:textId="0AFED11D" w:rsidR="0058742C" w:rsidRPr="0058742C" w:rsidRDefault="0058742C" w:rsidP="00715FBF">
      <w:pPr>
        <w:pStyle w:val="Listbullets-Level1"/>
      </w:pPr>
      <w:r w:rsidRPr="0058742C">
        <w:rPr>
          <w:lang w:val="en-US"/>
        </w:rPr>
        <w:t>scope for multiple providers or service options to exist in the market</w:t>
      </w:r>
    </w:p>
    <w:p w14:paraId="22BEAA24" w14:textId="61A1F3DB" w:rsidR="0058742C" w:rsidRPr="0058742C" w:rsidRDefault="0058742C" w:rsidP="00715FBF">
      <w:pPr>
        <w:pStyle w:val="Listbullets-Level1"/>
      </w:pPr>
      <w:r w:rsidRPr="0058742C">
        <w:rPr>
          <w:lang w:val="en-US"/>
        </w:rPr>
        <w:t>capacity to monitor provider performance</w:t>
      </w:r>
    </w:p>
    <w:p w14:paraId="0791EC17" w14:textId="0CC36DC6" w:rsidR="0058742C" w:rsidRPr="0058742C" w:rsidRDefault="0058742C" w:rsidP="00715FBF">
      <w:pPr>
        <w:pStyle w:val="Listbullets-Level1"/>
      </w:pPr>
      <w:r w:rsidRPr="0058742C">
        <w:rPr>
          <w:lang w:val="en-US"/>
        </w:rPr>
        <w:t>synergies and opportunities in broader care and support sector or other sectors</w:t>
      </w:r>
    </w:p>
    <w:p w14:paraId="041AED00" w14:textId="1F4A666F" w:rsidR="0058742C" w:rsidRPr="0058742C" w:rsidRDefault="0058742C" w:rsidP="00715FBF">
      <w:pPr>
        <w:pStyle w:val="Listbullets-Level1"/>
      </w:pPr>
      <w:r w:rsidRPr="0058742C">
        <w:rPr>
          <w:lang w:val="en-US"/>
        </w:rPr>
        <w:t>barriers or incentivies to enter, grow, shrink or exit the market</w:t>
      </w:r>
    </w:p>
    <w:p w14:paraId="1802C6C9" w14:textId="7F73B933" w:rsidR="0058742C" w:rsidRPr="0058742C" w:rsidRDefault="0058742C" w:rsidP="00715FBF">
      <w:pPr>
        <w:pStyle w:val="Listbullets-Level1"/>
      </w:pPr>
      <w:r w:rsidRPr="0058742C">
        <w:rPr>
          <w:lang w:val="en-US"/>
        </w:rPr>
        <w:t>workforce capacity and capabilty.</w:t>
      </w:r>
    </w:p>
    <w:p w14:paraId="57A44997" w14:textId="7146AB2B" w:rsidR="0094053E" w:rsidRDefault="00050BFB" w:rsidP="0094053E">
      <w:hyperlink w:anchor="fig4" w:history="1">
        <w:r w:rsidR="0058742C" w:rsidRPr="0058742C">
          <w:rPr>
            <w:rStyle w:val="Hyperlink"/>
            <w:rFonts w:asciiTheme="minorHAnsi" w:hAnsiTheme="minorHAnsi"/>
          </w:rPr>
          <w:t>Return to Figure 4</w:t>
        </w:r>
      </w:hyperlink>
    </w:p>
    <w:p w14:paraId="278A000E" w14:textId="4531D28E" w:rsidR="0058742C" w:rsidRPr="0058742C" w:rsidRDefault="0058742C" w:rsidP="0058742C">
      <w:pPr>
        <w:pStyle w:val="Heading3"/>
        <w:rPr>
          <w:sz w:val="24"/>
          <w:szCs w:val="24"/>
        </w:rPr>
      </w:pPr>
      <w:bookmarkStart w:id="112" w:name="_Figure_5_-"/>
      <w:bookmarkEnd w:id="112"/>
      <w:r w:rsidRPr="0058742C">
        <w:rPr>
          <w:sz w:val="24"/>
          <w:szCs w:val="24"/>
          <w:lang w:val="en-US"/>
        </w:rPr>
        <w:t>Figure 5 - Outline of NDIS Market Stewardship tools</w:t>
      </w:r>
    </w:p>
    <w:p w14:paraId="7430D21A" w14:textId="67688750" w:rsidR="0058742C" w:rsidRPr="0058742C" w:rsidRDefault="00F55D8C" w:rsidP="0058742C">
      <w:r>
        <w:rPr>
          <w:lang w:val="en-US"/>
        </w:rPr>
        <w:t>A</w:t>
      </w:r>
      <w:r w:rsidR="0058742C" w:rsidRPr="0058742C">
        <w:rPr>
          <w:lang w:val="en-US"/>
        </w:rPr>
        <w:t xml:space="preserve"> range of market tools that can be used in NDIS markets to ensure effective delivery of supports</w:t>
      </w:r>
      <w:r>
        <w:rPr>
          <w:lang w:val="en-US"/>
        </w:rPr>
        <w:t>:</w:t>
      </w:r>
    </w:p>
    <w:p w14:paraId="0FF9386B" w14:textId="3CAB89DC" w:rsidR="0058742C" w:rsidRPr="0058742C" w:rsidRDefault="0058742C" w:rsidP="0058742C">
      <w:r w:rsidRPr="0058742C">
        <w:rPr>
          <w:lang w:val="en-US"/>
        </w:rPr>
        <w:t>Level 1: Competition in the market can deliver strong incentives for providers to be more focused on participants' needs.</w:t>
      </w:r>
    </w:p>
    <w:p w14:paraId="66F615D8" w14:textId="6954A960" w:rsidR="0058742C" w:rsidRPr="0058742C" w:rsidRDefault="0058742C" w:rsidP="0058742C">
      <w:r w:rsidRPr="0058742C">
        <w:rPr>
          <w:lang w:val="en-US"/>
        </w:rPr>
        <w:t>Level 1.1</w:t>
      </w:r>
      <w:r w:rsidR="004760DD">
        <w:rPr>
          <w:lang w:val="en-US"/>
        </w:rPr>
        <w:t>:</w:t>
      </w:r>
      <w:r w:rsidRPr="0058742C">
        <w:rPr>
          <w:lang w:val="en-US"/>
        </w:rPr>
        <w:t xml:space="preserve"> Market coordination tools include:</w:t>
      </w:r>
    </w:p>
    <w:p w14:paraId="09B0E96C" w14:textId="548B28F8" w:rsidR="0058742C" w:rsidRPr="00715FBF" w:rsidRDefault="0058742C" w:rsidP="00715FBF">
      <w:pPr>
        <w:pStyle w:val="ListParagraph"/>
        <w:numPr>
          <w:ilvl w:val="0"/>
          <w:numId w:val="14"/>
        </w:numPr>
        <w:rPr>
          <w:sz w:val="22"/>
          <w:szCs w:val="22"/>
        </w:rPr>
      </w:pPr>
      <w:r w:rsidRPr="00715FBF">
        <w:rPr>
          <w:sz w:val="22"/>
          <w:szCs w:val="22"/>
          <w:lang w:val="en-US"/>
        </w:rPr>
        <w:t>Market facilitation - engagement and information sharing to improve participant and provider connection</w:t>
      </w:r>
    </w:p>
    <w:p w14:paraId="62F78190" w14:textId="00D3E85B" w:rsidR="0058742C" w:rsidRPr="00715FBF" w:rsidRDefault="0058742C" w:rsidP="00715FBF">
      <w:pPr>
        <w:pStyle w:val="ListParagraph"/>
        <w:numPr>
          <w:ilvl w:val="0"/>
          <w:numId w:val="14"/>
        </w:numPr>
        <w:rPr>
          <w:sz w:val="22"/>
          <w:szCs w:val="22"/>
        </w:rPr>
      </w:pPr>
      <w:r w:rsidRPr="00715FBF">
        <w:rPr>
          <w:sz w:val="22"/>
          <w:szCs w:val="22"/>
          <w:lang w:val="en-US"/>
        </w:rPr>
        <w:t>Intermediaries - someone to help participant find and connect with services.</w:t>
      </w:r>
    </w:p>
    <w:p w14:paraId="4C326D65" w14:textId="42C4B5DA" w:rsidR="0058742C" w:rsidRPr="00715FBF" w:rsidRDefault="0058742C" w:rsidP="00715FBF">
      <w:pPr>
        <w:pStyle w:val="ListParagraph"/>
        <w:numPr>
          <w:ilvl w:val="0"/>
          <w:numId w:val="14"/>
        </w:numPr>
        <w:rPr>
          <w:sz w:val="22"/>
          <w:szCs w:val="22"/>
        </w:rPr>
      </w:pPr>
      <w:r w:rsidRPr="00715FBF">
        <w:rPr>
          <w:sz w:val="22"/>
          <w:szCs w:val="22"/>
          <w:lang w:val="en-US"/>
        </w:rPr>
        <w:t>Market deepening - participant can pool funding and coordinate demand to attract providers.</w:t>
      </w:r>
    </w:p>
    <w:p w14:paraId="459B8DBD" w14:textId="6C453525" w:rsidR="0058742C" w:rsidRPr="0058742C" w:rsidRDefault="0058742C" w:rsidP="0058742C">
      <w:r w:rsidRPr="0058742C">
        <w:rPr>
          <w:lang w:val="en-US"/>
        </w:rPr>
        <w:t>Level 1.2</w:t>
      </w:r>
      <w:r w:rsidR="004760DD">
        <w:rPr>
          <w:lang w:val="en-US"/>
        </w:rPr>
        <w:t>:</w:t>
      </w:r>
      <w:r w:rsidRPr="0058742C">
        <w:rPr>
          <w:lang w:val="en-US"/>
        </w:rPr>
        <w:t xml:space="preserve"> Market settings include: pricing and payment approaches and market access settings (e.g. who can enter in the market).</w:t>
      </w:r>
    </w:p>
    <w:p w14:paraId="7B996186" w14:textId="77261188" w:rsidR="0058742C" w:rsidRPr="0058742C" w:rsidRDefault="0058742C" w:rsidP="0058742C">
      <w:r w:rsidRPr="0058742C">
        <w:rPr>
          <w:lang w:val="en-US"/>
        </w:rPr>
        <w:lastRenderedPageBreak/>
        <w:t>Level 2</w:t>
      </w:r>
      <w:r w:rsidR="004760DD">
        <w:rPr>
          <w:lang w:val="en-US"/>
        </w:rPr>
        <w:t>:</w:t>
      </w:r>
      <w:r w:rsidRPr="0058742C">
        <w:rPr>
          <w:lang w:val="en-US"/>
        </w:rPr>
        <w:t xml:space="preserve"> Contestable arrangements drives compet</w:t>
      </w:r>
      <w:r>
        <w:rPr>
          <w:lang w:val="en-US"/>
        </w:rPr>
        <w:t>ition for the market. It can</w:t>
      </w:r>
      <w:r w:rsidRPr="0058742C">
        <w:rPr>
          <w:lang w:val="en-US"/>
        </w:rPr>
        <w:t xml:space="preserve"> ensure a provider faces a credible threat of replacement if it underperforms, where competition between multiple providers is not possible.</w:t>
      </w:r>
    </w:p>
    <w:p w14:paraId="463F5807" w14:textId="0FBA37A6" w:rsidR="0058742C" w:rsidRPr="0058742C" w:rsidRDefault="0058742C" w:rsidP="0058742C">
      <w:r w:rsidRPr="0058742C">
        <w:rPr>
          <w:lang w:val="en-US"/>
        </w:rPr>
        <w:t>Level 2.1</w:t>
      </w:r>
      <w:r w:rsidR="004760DD">
        <w:rPr>
          <w:lang w:val="en-US"/>
        </w:rPr>
        <w:t>:</w:t>
      </w:r>
      <w:r w:rsidRPr="0058742C">
        <w:rPr>
          <w:lang w:val="en-US"/>
        </w:rPr>
        <w:t xml:space="preserve"> Alternative commissioning includes:</w:t>
      </w:r>
    </w:p>
    <w:p w14:paraId="0720D23F" w14:textId="0A5CD8B0" w:rsidR="0058742C" w:rsidRPr="00715FBF" w:rsidRDefault="0058742C" w:rsidP="00715FBF">
      <w:pPr>
        <w:pStyle w:val="ListParagraph"/>
        <w:numPr>
          <w:ilvl w:val="0"/>
          <w:numId w:val="14"/>
        </w:numPr>
        <w:rPr>
          <w:sz w:val="22"/>
          <w:szCs w:val="22"/>
        </w:rPr>
      </w:pPr>
      <w:r w:rsidRPr="00715FBF">
        <w:rPr>
          <w:sz w:val="22"/>
          <w:szCs w:val="22"/>
          <w:lang w:val="en-US"/>
        </w:rPr>
        <w:t>Direct commissioning - where supports are directly purchased on behalf of a group of participants. Supports can be purchased from non-government or government providers – who should ideally be separate from the funding body to ensure a level playing field.</w:t>
      </w:r>
    </w:p>
    <w:p w14:paraId="112E7C3A" w14:textId="2937C8C6" w:rsidR="0058742C" w:rsidRPr="00715FBF" w:rsidRDefault="0058742C" w:rsidP="00715FBF">
      <w:pPr>
        <w:pStyle w:val="ListParagraph"/>
        <w:numPr>
          <w:ilvl w:val="0"/>
          <w:numId w:val="14"/>
        </w:numPr>
        <w:rPr>
          <w:sz w:val="22"/>
          <w:szCs w:val="22"/>
        </w:rPr>
      </w:pPr>
      <w:r w:rsidRPr="00715FBF">
        <w:rPr>
          <w:sz w:val="22"/>
          <w:szCs w:val="22"/>
          <w:lang w:val="en-US"/>
        </w:rPr>
        <w:t>Integrated commissioning - involves selecting a provider to provide supports across multiple services types for a defined area. What services types are commissioned and how they are delivered is based on identified community needs.</w:t>
      </w:r>
    </w:p>
    <w:p w14:paraId="3F607F88" w14:textId="542B09BF" w:rsidR="0058742C" w:rsidRPr="00715FBF" w:rsidRDefault="0058742C" w:rsidP="00715FBF">
      <w:pPr>
        <w:pStyle w:val="ListParagraph"/>
        <w:numPr>
          <w:ilvl w:val="0"/>
          <w:numId w:val="14"/>
        </w:numPr>
        <w:rPr>
          <w:sz w:val="22"/>
          <w:szCs w:val="22"/>
        </w:rPr>
      </w:pPr>
      <w:r w:rsidRPr="00715FBF">
        <w:rPr>
          <w:sz w:val="22"/>
          <w:szCs w:val="22"/>
          <w:lang w:val="en-US"/>
        </w:rPr>
        <w:t xml:space="preserve">Community commissioning - is where communities are empowered, or use cooperative approaches, to lead the commissioning process. Communities, rather than governments, determine the services and providers that best meet their needs. Community commissioning may be implemented using direct or integrated commissioning. </w:t>
      </w:r>
    </w:p>
    <w:p w14:paraId="740962AA" w14:textId="1E430ED8" w:rsidR="0058742C" w:rsidRPr="0058742C" w:rsidRDefault="0058742C" w:rsidP="0058742C">
      <w:r w:rsidRPr="0058742C">
        <w:rPr>
          <w:lang w:val="en-US"/>
        </w:rPr>
        <w:t>Level 2.2</w:t>
      </w:r>
      <w:r w:rsidR="004760DD">
        <w:rPr>
          <w:lang w:val="en-US"/>
        </w:rPr>
        <w:t>:</w:t>
      </w:r>
      <w:r w:rsidRPr="0058742C">
        <w:rPr>
          <w:lang w:val="en-US"/>
        </w:rPr>
        <w:t xml:space="preserve"> Provider of last resort arrangements help to maintain continuity of service when a provider cannot deliver services to some or all users. Governments can coordinate other providers to take on users, bail out a failing provider, increase funding to the provider, identify other providers, or directly provide the service.</w:t>
      </w:r>
    </w:p>
    <w:p w14:paraId="3F218F53" w14:textId="5D92FDF9" w:rsidR="0058742C" w:rsidRDefault="00050BFB" w:rsidP="0094053E">
      <w:hyperlink w:anchor="fig5" w:history="1">
        <w:r w:rsidR="0058742C" w:rsidRPr="0058742C">
          <w:rPr>
            <w:rStyle w:val="Hyperlink"/>
            <w:rFonts w:asciiTheme="minorHAnsi" w:hAnsiTheme="minorHAnsi"/>
          </w:rPr>
          <w:t>Return to Figure 5</w:t>
        </w:r>
      </w:hyperlink>
    </w:p>
    <w:p w14:paraId="627A808F" w14:textId="701F60D9" w:rsidR="00EB7A34" w:rsidRPr="00EB7A34" w:rsidRDefault="00EB7A34" w:rsidP="00EB7A34">
      <w:pPr>
        <w:pStyle w:val="Heading3"/>
        <w:rPr>
          <w:sz w:val="24"/>
          <w:szCs w:val="24"/>
        </w:rPr>
      </w:pPr>
      <w:bookmarkStart w:id="113" w:name="_Figure_6_-"/>
      <w:bookmarkEnd w:id="113"/>
      <w:r w:rsidRPr="00EB7A34">
        <w:rPr>
          <w:bCs/>
          <w:sz w:val="24"/>
          <w:szCs w:val="24"/>
        </w:rPr>
        <w:t>Figure 7 -</w:t>
      </w:r>
      <w:r w:rsidRPr="00EB7A34">
        <w:rPr>
          <w:sz w:val="24"/>
          <w:szCs w:val="24"/>
        </w:rPr>
        <w:t xml:space="preserve"> </w:t>
      </w:r>
      <w:r w:rsidRPr="00EB7A34">
        <w:rPr>
          <w:sz w:val="24"/>
          <w:szCs w:val="24"/>
          <w:lang w:val="en-US"/>
        </w:rPr>
        <w:t>Timeline representation of alternative funding and alternative commissioning approaches recommendations</w:t>
      </w:r>
    </w:p>
    <w:p w14:paraId="10A2D401" w14:textId="226B9E30" w:rsidR="00EB7A34" w:rsidRPr="00EB7A34" w:rsidRDefault="00EB7A34" w:rsidP="00EB7A34">
      <w:r w:rsidRPr="00EB7A34">
        <w:rPr>
          <w:lang w:val="en-US"/>
        </w:rPr>
        <w:t>A timeline outlining relevant recommendations from 2017 onwards.</w:t>
      </w:r>
    </w:p>
    <w:p w14:paraId="51ABECF9" w14:textId="77777777" w:rsidR="00EB7A34" w:rsidRPr="00EB7A34" w:rsidRDefault="00EB7A34" w:rsidP="00EB7A34">
      <w:r w:rsidRPr="00EB7A34">
        <w:rPr>
          <w:lang w:val="en-US"/>
        </w:rPr>
        <w:t>2017 Productivity report on NDIS costs suggests a tailored response to NDIS thin markets.</w:t>
      </w:r>
    </w:p>
    <w:p w14:paraId="4BAEF8A7" w14:textId="5F541657" w:rsidR="00EB7A34" w:rsidRPr="00EB7A34" w:rsidRDefault="00EB7A34" w:rsidP="00EB7A34">
      <w:r w:rsidRPr="00EB7A34">
        <w:rPr>
          <w:lang w:val="en-US"/>
        </w:rPr>
        <w:t>2018 Joint Standing Committee on the NDIS Inquiry (JSC NDIS) into Transitional Arrangements suggested exploring alternative funding models. NDIA &amp; DSS commenced development on the NDIS Thin Ma</w:t>
      </w:r>
      <w:r w:rsidR="00715FBF">
        <w:rPr>
          <w:lang w:val="en-US"/>
        </w:rPr>
        <w:t>rk</w:t>
      </w:r>
      <w:r w:rsidRPr="00EB7A34">
        <w:rPr>
          <w:lang w:val="en-US"/>
        </w:rPr>
        <w:t>et Approach</w:t>
      </w:r>
    </w:p>
    <w:p w14:paraId="12860399" w14:textId="0DE51D55" w:rsidR="00EB7A34" w:rsidRPr="00EB7A34" w:rsidRDefault="00EB7A34" w:rsidP="00EB7A34">
      <w:r w:rsidRPr="00EB7A34">
        <w:rPr>
          <w:lang w:val="en-US"/>
        </w:rPr>
        <w:t xml:space="preserve">2019 relates </w:t>
      </w:r>
      <w:r w:rsidR="00715FBF">
        <w:rPr>
          <w:lang w:val="en-US"/>
        </w:rPr>
        <w:t xml:space="preserve">to JSC NDIS recommends testing </w:t>
      </w:r>
      <w:r w:rsidRPr="00EB7A34">
        <w:rPr>
          <w:lang w:val="en-US"/>
        </w:rPr>
        <w:t>approaches other than 'fee-for-service'; NDIS thin Markets Framework developed; Tune Review recommended more defined powers for NDIA to intervene in markets.</w:t>
      </w:r>
    </w:p>
    <w:p w14:paraId="3A44D1C2" w14:textId="77777777" w:rsidR="00EB7A34" w:rsidRPr="00EB7A34" w:rsidRDefault="00EB7A34" w:rsidP="00EB7A34">
      <w:r w:rsidRPr="00EB7A34">
        <w:rPr>
          <w:lang w:val="en-US"/>
        </w:rPr>
        <w:t xml:space="preserve">In 2020, Disability Reform Council agreed to a more flexible approach to thin markets; NDIA began Thin Market Trials. </w:t>
      </w:r>
    </w:p>
    <w:p w14:paraId="7D2FDCC2" w14:textId="77777777" w:rsidR="00EB7A34" w:rsidRPr="00EB7A34" w:rsidRDefault="00EB7A34" w:rsidP="00EB7A34">
      <w:r w:rsidRPr="00EB7A34">
        <w:rPr>
          <w:lang w:val="en-US"/>
        </w:rPr>
        <w:t>In 2021 Queensland Productivity Commission Inquiry on the NDIS Market in Queensland recommended alternative commissioning.</w:t>
      </w:r>
    </w:p>
    <w:p w14:paraId="7D145941" w14:textId="7C222A3C" w:rsidR="00EB7A34" w:rsidRDefault="00EB7A34" w:rsidP="0094053E">
      <w:r w:rsidRPr="00EB7A34">
        <w:rPr>
          <w:lang w:val="en-US"/>
        </w:rPr>
        <w:t>By end of 2022, 39 NDIS Thin Market Trials are completed or underway across Australia</w:t>
      </w:r>
      <w:r w:rsidR="000C3E21">
        <w:rPr>
          <w:lang w:val="en-US"/>
        </w:rPr>
        <w:t>.</w:t>
      </w:r>
    </w:p>
    <w:p w14:paraId="63831FDA" w14:textId="599F166C" w:rsidR="00EB7A34" w:rsidRDefault="00050BFB" w:rsidP="0094053E">
      <w:hyperlink w:anchor="fig7" w:history="1">
        <w:r w:rsidR="00EB7A34" w:rsidRPr="00EB7A34">
          <w:rPr>
            <w:rStyle w:val="Hyperlink"/>
            <w:rFonts w:asciiTheme="minorHAnsi" w:hAnsiTheme="minorHAnsi"/>
          </w:rPr>
          <w:t>Return to Figure 7</w:t>
        </w:r>
      </w:hyperlink>
    </w:p>
    <w:p w14:paraId="35E1D71D" w14:textId="3F63C916" w:rsidR="007932D8" w:rsidRPr="007932D8" w:rsidRDefault="007932D8" w:rsidP="007932D8">
      <w:pPr>
        <w:pStyle w:val="Heading3"/>
        <w:rPr>
          <w:sz w:val="24"/>
          <w:szCs w:val="24"/>
        </w:rPr>
      </w:pPr>
      <w:bookmarkStart w:id="114" w:name="_Figure_13_-"/>
      <w:bookmarkEnd w:id="114"/>
      <w:r w:rsidRPr="007932D8">
        <w:rPr>
          <w:sz w:val="24"/>
          <w:szCs w:val="24"/>
          <w:lang w:val="en-US"/>
        </w:rPr>
        <w:t xml:space="preserve">Figure 13 - Graph of NDIS market support concentration in relation to Modified Monash Model </w:t>
      </w:r>
    </w:p>
    <w:p w14:paraId="340654B8" w14:textId="371BFF2B" w:rsidR="007932D8" w:rsidRPr="007932D8" w:rsidRDefault="007932D8" w:rsidP="007932D8">
      <w:r w:rsidRPr="007932D8">
        <w:rPr>
          <w:lang w:val="en-US"/>
        </w:rPr>
        <w:t>Bar graph looking at market concentration using the Herfindahl-Hirschman Index (HHI), for different groups of supports and by remoteness.</w:t>
      </w:r>
    </w:p>
    <w:p w14:paraId="71ECE0DF" w14:textId="77777777" w:rsidR="007932D8" w:rsidRPr="007932D8" w:rsidRDefault="007932D8" w:rsidP="007932D8">
      <w:r w:rsidRPr="007932D8">
        <w:rPr>
          <w:lang w:val="en-US"/>
        </w:rPr>
        <w:t>HHI for all supports: ranges from 0.002 to 0.004 in metropolitan, regional and rural areas; rises to 0.016 in remote areas, and 0.013 in very remote areas.</w:t>
      </w:r>
    </w:p>
    <w:p w14:paraId="277BB689" w14:textId="77777777" w:rsidR="007932D8" w:rsidRPr="007932D8" w:rsidRDefault="007932D8" w:rsidP="007932D8">
      <w:r w:rsidRPr="007932D8">
        <w:rPr>
          <w:lang w:val="en-US"/>
        </w:rPr>
        <w:t>HHI for daily activities and social, community and civic participation supports: ranges from 0.002 to 0.006 in metropolitan, regional and rural areas; rises to 0.025 in remote areas, and 0.020 in very remote areas.</w:t>
      </w:r>
    </w:p>
    <w:p w14:paraId="5016726C" w14:textId="77777777" w:rsidR="007932D8" w:rsidRPr="007932D8" w:rsidRDefault="007932D8" w:rsidP="007932D8">
      <w:r w:rsidRPr="007932D8">
        <w:rPr>
          <w:lang w:val="en-US"/>
        </w:rPr>
        <w:t>HHI for capacity building supports (excluding support coordination and plan management): ranges from 0.002 to 0.003 in metropolitan, regional and rural areas; rises to 0.015 in remote areas, and 0.030 in very remote areas.</w:t>
      </w:r>
    </w:p>
    <w:p w14:paraId="472C1BC1" w14:textId="20A4EC72" w:rsidR="007932D8" w:rsidRDefault="00050BFB" w:rsidP="0094053E">
      <w:hyperlink w:anchor="fig13" w:history="1">
        <w:r w:rsidR="007932D8" w:rsidRPr="007932D8">
          <w:rPr>
            <w:rStyle w:val="Hyperlink"/>
            <w:rFonts w:asciiTheme="minorHAnsi" w:hAnsiTheme="minorHAnsi"/>
          </w:rPr>
          <w:t>Return to Figure 13</w:t>
        </w:r>
      </w:hyperlink>
    </w:p>
    <w:p w14:paraId="01C5BEAE" w14:textId="1BE52743" w:rsidR="007932D8" w:rsidRPr="007932D8" w:rsidRDefault="007932D8" w:rsidP="007932D8">
      <w:pPr>
        <w:pStyle w:val="Heading3"/>
        <w:rPr>
          <w:sz w:val="24"/>
          <w:szCs w:val="24"/>
        </w:rPr>
      </w:pPr>
      <w:bookmarkStart w:id="115" w:name="_Figure_14_-"/>
      <w:bookmarkEnd w:id="115"/>
      <w:r w:rsidRPr="007932D8">
        <w:rPr>
          <w:sz w:val="24"/>
          <w:szCs w:val="24"/>
        </w:rPr>
        <w:t>Figure 14 - Commissioning cycle</w:t>
      </w:r>
    </w:p>
    <w:p w14:paraId="1A30C832" w14:textId="4E952EBE" w:rsidR="007932D8" w:rsidRPr="007932D8" w:rsidRDefault="007932D8" w:rsidP="007932D8">
      <w:r w:rsidRPr="007932D8">
        <w:rPr>
          <w:lang w:val="en-US"/>
        </w:rPr>
        <w:t>A 4 stage cycle where:</w:t>
      </w:r>
    </w:p>
    <w:p w14:paraId="5C7CD55F" w14:textId="77777777" w:rsidR="007932D8" w:rsidRPr="007932D8" w:rsidRDefault="007932D8" w:rsidP="007932D8">
      <w:r w:rsidRPr="007932D8">
        <w:rPr>
          <w:lang w:val="en-US"/>
        </w:rPr>
        <w:t>Stage 1 relates to understanding community needs through strengths-based assessment and analysis of community’s needs.</w:t>
      </w:r>
    </w:p>
    <w:p w14:paraId="3C1278A0" w14:textId="77777777" w:rsidR="007932D8" w:rsidRPr="007932D8" w:rsidRDefault="007932D8" w:rsidP="007932D8">
      <w:r w:rsidRPr="007932D8">
        <w:rPr>
          <w:lang w:val="en-US"/>
        </w:rPr>
        <w:t>Stage 2 relates to exploring and designing solutions. This includes how community and NDIA decides if, and what, alternative commissioning approaches are needed - such as direct commissioning, intergrated commissioning and community commissioning.</w:t>
      </w:r>
    </w:p>
    <w:p w14:paraId="2BAA672C" w14:textId="77777777" w:rsidR="007932D8" w:rsidRPr="007932D8" w:rsidRDefault="007932D8" w:rsidP="007932D8">
      <w:r w:rsidRPr="007932D8">
        <w:rPr>
          <w:lang w:val="en-US"/>
        </w:rPr>
        <w:t>Stage 3 is implementing the alternative commissioning approach through: culturally appropriate, outcome-based commissioning. procurement policies and processes; and fit for purpose enablers.</w:t>
      </w:r>
    </w:p>
    <w:p w14:paraId="3F0733CE" w14:textId="1B56E513" w:rsidR="007932D8" w:rsidRPr="007932D8" w:rsidRDefault="007932D8" w:rsidP="007932D8">
      <w:r w:rsidRPr="007932D8">
        <w:rPr>
          <w:lang w:val="en-US"/>
        </w:rPr>
        <w:t>Stage 4 is about monitoring, evaluating and improving through a practical and community-driven approach. This needs to consider Indigenous</w:t>
      </w:r>
      <w:r>
        <w:t xml:space="preserve"> </w:t>
      </w:r>
      <w:r w:rsidRPr="007932D8">
        <w:rPr>
          <w:lang w:val="en-US"/>
        </w:rPr>
        <w:t>data sovereignty, with best practice Indigenous evaluation and a National Disability Data Asset (NDDA)</w:t>
      </w:r>
    </w:p>
    <w:p w14:paraId="125B4273" w14:textId="77777777" w:rsidR="007932D8" w:rsidRPr="007932D8" w:rsidRDefault="007932D8" w:rsidP="007932D8">
      <w:r w:rsidRPr="007932D8">
        <w:rPr>
          <w:lang w:val="en-US"/>
        </w:rPr>
        <w:t xml:space="preserve">Throughout the cycle, effective alternative commissioning approaches – particularly for First Nations communities – must be underpinned by overarching and local governance structures that share decision-making power with communities, and are driven and embedded within the community. </w:t>
      </w:r>
    </w:p>
    <w:p w14:paraId="720F9A9E" w14:textId="57E05BD4" w:rsidR="007932D8" w:rsidRDefault="00050BFB" w:rsidP="0094053E">
      <w:hyperlink w:anchor="fig14" w:history="1">
        <w:r w:rsidR="007932D8" w:rsidRPr="007932D8">
          <w:rPr>
            <w:rStyle w:val="Hyperlink"/>
            <w:rFonts w:asciiTheme="minorHAnsi" w:hAnsiTheme="minorHAnsi"/>
          </w:rPr>
          <w:t xml:space="preserve">Return to </w:t>
        </w:r>
        <w:r w:rsidR="006A65D4">
          <w:rPr>
            <w:rStyle w:val="Hyperlink"/>
            <w:rFonts w:asciiTheme="minorHAnsi" w:hAnsiTheme="minorHAnsi"/>
          </w:rPr>
          <w:t>F</w:t>
        </w:r>
        <w:r w:rsidR="007932D8" w:rsidRPr="007932D8">
          <w:rPr>
            <w:rStyle w:val="Hyperlink"/>
            <w:rFonts w:asciiTheme="minorHAnsi" w:hAnsiTheme="minorHAnsi"/>
          </w:rPr>
          <w:t>igure 14</w:t>
        </w:r>
      </w:hyperlink>
    </w:p>
    <w:p w14:paraId="50E7270B" w14:textId="56BE775C" w:rsidR="00C65B05" w:rsidRDefault="00C65B05">
      <w:pPr>
        <w:spacing w:after="200" w:line="288" w:lineRule="auto"/>
      </w:pPr>
      <w:r>
        <w:br w:type="page"/>
      </w:r>
    </w:p>
    <w:sectPr w:rsidR="00C65B05" w:rsidSect="00CA2930">
      <w:headerReference w:type="default" r:id="rId40"/>
      <w:endnotePr>
        <w:numFmt w:val="decimal"/>
      </w:endnotePr>
      <w:pgSz w:w="11906" w:h="16838" w:code="9"/>
      <w:pgMar w:top="1559" w:right="1134" w:bottom="1559" w:left="1134" w:header="992"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710B68" w16cex:dateUtc="2023-01-17T00:56:00Z"/>
  <w16cex:commentExtensible w16cex:durableId="27710A90" w16cex:dateUtc="2023-01-17T00:52:00Z"/>
  <w16cex:commentExtensible w16cex:durableId="27710B04" w16cex:dateUtc="2023-01-17T00:54:00Z"/>
  <w16cex:commentExtensible w16cex:durableId="27710B99" w16cex:dateUtc="2023-01-17T00:57:00Z"/>
  <w16cex:commentExtensible w16cex:durableId="27714384" w16cex:dateUtc="2023-01-17T04:55:00Z"/>
  <w16cex:commentExtensible w16cex:durableId="2771450C" w16cex:dateUtc="2023-01-17T05:02:00Z"/>
  <w16cex:commentExtensible w16cex:durableId="2771454D" w16cex:dateUtc="2023-01-17T05:03:00Z"/>
  <w16cex:commentExtensible w16cex:durableId="27714622" w16cex:dateUtc="2023-01-17T05:06:00Z"/>
  <w16cex:commentExtensible w16cex:durableId="27714798" w16cex:dateUtc="2023-01-17T05:13:00Z"/>
  <w16cex:commentExtensible w16cex:durableId="2771486D" w16cex:dateUtc="2023-01-17T05:16:00Z"/>
  <w16cex:commentExtensible w16cex:durableId="27716255" w16cex:dateUtc="2023-01-17T07:07:00Z"/>
  <w16cex:commentExtensible w16cex:durableId="277162B5" w16cex:dateUtc="2023-01-17T07:08:00Z"/>
  <w16cex:commentExtensible w16cex:durableId="277148DD" w16cex:dateUtc="2023-01-17T05:18:00Z"/>
  <w16cex:commentExtensible w16cex:durableId="2771630C" w16cex:dateUtc="2023-01-17T07:10:00Z"/>
  <w16cex:commentExtensible w16cex:durableId="27716391" w16cex:dateUtc="2023-01-17T07:12:00Z"/>
  <w16cex:commentExtensible w16cex:durableId="277163BC" w16cex:dateUtc="2023-01-17T07:13:00Z"/>
  <w16cex:commentExtensible w16cex:durableId="277163EF" w16cex:dateUtc="2023-01-17T07:14:00Z"/>
  <w16cex:commentExtensible w16cex:durableId="27716472" w16cex:dateUtc="2023-01-17T07:16:00Z"/>
  <w16cex:commentExtensible w16cex:durableId="277164B2" w16cex:dateUtc="2023-01-17T07:17:00Z"/>
  <w16cex:commentExtensible w16cex:durableId="27716558" w16cex:dateUtc="2023-01-17T07:20:00Z"/>
  <w16cex:commentExtensible w16cex:durableId="2771664C" w16cex:dateUtc="2023-01-17T07:24:00Z"/>
  <w16cex:commentExtensible w16cex:durableId="277166AD" w16cex:dateUtc="2023-01-17T07:25:00Z"/>
  <w16cex:commentExtensible w16cex:durableId="27716750" w16cex:dateUtc="2023-01-17T07:28:00Z"/>
  <w16cex:commentExtensible w16cex:durableId="277167AB" w16cex:dateUtc="2023-01-17T07:30:00Z"/>
  <w16cex:commentExtensible w16cex:durableId="277167CC" w16cex:dateUtc="2023-01-17T07:30:00Z"/>
  <w16cex:commentExtensible w16cex:durableId="277169C9" w16cex:dateUtc="2023-01-17T07:39:00Z"/>
  <w16cex:commentExtensible w16cex:durableId="1D7DF832" w16cex:dateUtc="2023-03-22T05:01:59.431Z"/>
  <w16cex:commentExtensible w16cex:durableId="52E236AA" w16cex:dateUtc="2023-03-22T05:08:44.363Z"/>
  <w16cex:commentExtensible w16cex:durableId="1068C2EB" w16cex:dateUtc="2023-03-22T05:09:18.205Z"/>
  <w16cex:commentExtensible w16cex:durableId="10EAE4B0" w16cex:dateUtc="2023-03-23T02:19:20.421Z"/>
  <w16cex:commentExtensible w16cex:durableId="6EBF7851" w16cex:dateUtc="2023-03-22T05:16:33.731Z"/>
  <w16cex:commentExtensible w16cex:durableId="2FC107EF" w16cex:dateUtc="2023-03-22T23:28:30.878Z"/>
  <w16cex:commentExtensible w16cex:durableId="1697D902" w16cex:dateUtc="2023-03-23T01:10:15.439Z"/>
  <w16cex:commentExtensible w16cex:durableId="0BC0723D" w16cex:dateUtc="2023-03-22T05:55:33.529Z"/>
  <w16cex:commentExtensible w16cex:durableId="72C37A3C" w16cex:dateUtc="2023-03-22T05:59:28.397Z"/>
  <w16cex:commentExtensible w16cex:durableId="3ADC71D1" w16cex:dateUtc="2023-03-22T07:05:01.658Z"/>
  <w16cex:commentExtensible w16cex:durableId="5E20DBBA" w16cex:dateUtc="2023-03-22T07:06:05.378Z"/>
  <w16cex:commentExtensible w16cex:durableId="547D293B" w16cex:dateUtc="2023-03-23T01:01:50.407Z"/>
  <w16cex:commentExtensible w16cex:durableId="5FBDAB78" w16cex:dateUtc="2023-03-22T07:24:12.989Z"/>
  <w16cex:commentExtensible w16cex:durableId="2323307A" w16cex:dateUtc="2023-03-23T00:54:57.283Z"/>
  <w16cex:commentExtensible w16cex:durableId="676B157F" w16cex:dateUtc="2023-03-22T22:15:35.004Z"/>
  <w16cex:commentExtensible w16cex:durableId="4366FEC0" w16cex:dateUtc="2023-03-22T22:17:59.548Z"/>
  <w16cex:commentExtensible w16cex:durableId="22535BFA" w16cex:dateUtc="2023-03-22T05:16:33.731Z"/>
  <w16cex:commentExtensible w16cex:durableId="001F6A5B" w16cex:dateUtc="2023-03-22T05:17:08.485Z"/>
  <w16cex:commentExtensible w16cex:durableId="68795CA0" w16cex:dateUtc="2023-03-23T02:21:56.296Z"/>
</w16cex:commentsExtensible>
</file>

<file path=word/commentsIds.xml><?xml version="1.0" encoding="utf-8"?>
<w16cid:commentsIds xmlns:mc="http://schemas.openxmlformats.org/markup-compatibility/2006" xmlns:w16cid="http://schemas.microsoft.com/office/word/2016/wordml/cid" mc:Ignorable="w16cid">
  <w16cid:commentId w16cid:paraId="4101F6EC" w16cid:durableId="27710B68"/>
  <w16cid:commentId w16cid:paraId="0339C4AD" w16cid:durableId="27710A90"/>
  <w16cid:commentId w16cid:paraId="67629B33" w16cid:durableId="27710B04"/>
  <w16cid:commentId w16cid:paraId="487F6E46" w16cid:durableId="27710B99"/>
  <w16cid:commentId w16cid:paraId="604FA0A9" w16cid:durableId="27714384"/>
  <w16cid:commentId w16cid:paraId="3C9381D9" w16cid:durableId="2771450C"/>
  <w16cid:commentId w16cid:paraId="12FFB5D5" w16cid:durableId="2771454D"/>
  <w16cid:commentId w16cid:paraId="1B3A5165" w16cid:durableId="27714622"/>
  <w16cid:commentId w16cid:paraId="48E1BB93" w16cid:durableId="27714798"/>
  <w16cid:commentId w16cid:paraId="3E379551" w16cid:durableId="2771486D"/>
  <w16cid:commentId w16cid:paraId="05D2966B" w16cid:durableId="27716255"/>
  <w16cid:commentId w16cid:paraId="3DD310FE" w16cid:durableId="277162B5"/>
  <w16cid:commentId w16cid:paraId="06FA9B72" w16cid:durableId="277148DD"/>
  <w16cid:commentId w16cid:paraId="41A5EEAF" w16cid:durableId="2771630C"/>
  <w16cid:commentId w16cid:paraId="69E07811" w16cid:durableId="27716391"/>
  <w16cid:commentId w16cid:paraId="26F915E3" w16cid:durableId="277163BC"/>
  <w16cid:commentId w16cid:paraId="6AD4F5BF" w16cid:durableId="277163EF"/>
  <w16cid:commentId w16cid:paraId="2E71075D" w16cid:durableId="27716472"/>
  <w16cid:commentId w16cid:paraId="3657E104" w16cid:durableId="277164B2"/>
  <w16cid:commentId w16cid:paraId="5D39B032" w16cid:durableId="27716558"/>
  <w16cid:commentId w16cid:paraId="2CEDE00F" w16cid:durableId="2771664C"/>
  <w16cid:commentId w16cid:paraId="1A32A3BE" w16cid:durableId="277166AD"/>
  <w16cid:commentId w16cid:paraId="315DE1F8" w16cid:durableId="27716750"/>
  <w16cid:commentId w16cid:paraId="191172B3" w16cid:durableId="277167AB"/>
  <w16cid:commentId w16cid:paraId="636EB3B6" w16cid:durableId="277167CC"/>
  <w16cid:commentId w16cid:paraId="2AFFDD4A" w16cid:durableId="277169C9"/>
  <w16cid:commentId w16cid:paraId="14144DDF" w16cid:durableId="56543A44"/>
  <w16cid:commentId w16cid:paraId="0EC3B22E" w16cid:durableId="610D97D4"/>
  <w16cid:commentId w16cid:paraId="26A0712A" w16cid:durableId="0F0F3401"/>
  <w16cid:commentId w16cid:paraId="7E698933" w16cid:durableId="1D541DCE"/>
  <w16cid:commentId w16cid:paraId="73054597" w16cid:durableId="5C11F1A9"/>
  <w16cid:commentId w16cid:paraId="5821A3F7" w16cid:durableId="15A091A5"/>
  <w16cid:commentId w16cid:paraId="14DA1DEA" w16cid:durableId="51D34FD0"/>
  <w16cid:commentId w16cid:paraId="765779D8" w16cid:durableId="0F9D1A95"/>
  <w16cid:commentId w16cid:paraId="7C57537F" w16cid:durableId="0D98EDAC"/>
  <w16cid:commentId w16cid:paraId="5DA2E442" w16cid:durableId="687CB716"/>
  <w16cid:commentId w16cid:paraId="21D449A1" w16cid:durableId="1D7DF832"/>
  <w16cid:commentId w16cid:paraId="3C04AC68" w16cid:durableId="52E236AA"/>
  <w16cid:commentId w16cid:paraId="23568A0E" w16cid:durableId="1068C2EB"/>
  <w16cid:commentId w16cid:paraId="00E1AF61" w16cid:durableId="0BC0723D"/>
  <w16cid:commentId w16cid:paraId="7D9509B7" w16cid:durableId="72C37A3C"/>
  <w16cid:commentId w16cid:paraId="4B9FE0A4" w16cid:durableId="3ADC71D1"/>
  <w16cid:commentId w16cid:paraId="33CD060F" w16cid:durableId="5E20DBBA"/>
  <w16cid:commentId w16cid:paraId="440E4336" w16cid:durableId="5FBDAB78"/>
  <w16cid:commentId w16cid:paraId="2EC86172" w16cid:durableId="676B157F"/>
  <w16cid:commentId w16cid:paraId="2269CF24" w16cid:durableId="4366FEC0"/>
  <w16cid:commentId w16cid:paraId="1F0D2D51" w16cid:durableId="2FC107EF"/>
  <w16cid:commentId w16cid:paraId="5C11108C" w16cid:durableId="6EBF7851"/>
  <w16cid:commentId w16cid:paraId="40BDE686" w16cid:durableId="22535BFA"/>
  <w16cid:commentId w16cid:paraId="67566A2D" w16cid:durableId="674CF650"/>
  <w16cid:commentId w16cid:paraId="77EB8BF4" w16cid:durableId="7D369E20"/>
  <w16cid:commentId w16cid:paraId="74A503BE" w16cid:durableId="001F6A5B"/>
  <w16cid:commentId w16cid:paraId="012DF470" w16cid:durableId="2323307A"/>
  <w16cid:commentId w16cid:paraId="52407ED6" w16cid:durableId="547D293B"/>
  <w16cid:commentId w16cid:paraId="7FCAFDFA" w16cid:durableId="1697D902"/>
  <w16cid:commentId w16cid:paraId="5915E4D9" w16cid:durableId="10EAE4B0"/>
  <w16cid:commentId w16cid:paraId="14991D43" w16cid:durableId="68795C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E300D" w14:textId="77777777" w:rsidR="00B61FED" w:rsidRDefault="00B61FED" w:rsidP="00F957C6">
      <w:pPr>
        <w:spacing w:after="0" w:line="240" w:lineRule="auto"/>
      </w:pPr>
      <w:r>
        <w:separator/>
      </w:r>
    </w:p>
  </w:endnote>
  <w:endnote w:type="continuationSeparator" w:id="0">
    <w:p w14:paraId="15BE023A" w14:textId="77777777" w:rsidR="00B61FED" w:rsidRDefault="00B61FED" w:rsidP="00F957C6">
      <w:pPr>
        <w:spacing w:after="0" w:line="240" w:lineRule="auto"/>
      </w:pPr>
      <w:r>
        <w:continuationSeparator/>
      </w:r>
    </w:p>
  </w:endnote>
  <w:endnote w:type="continuationNotice" w:id="1">
    <w:p w14:paraId="76BC0EC7" w14:textId="77777777" w:rsidR="00B61FED" w:rsidRDefault="00B61FED">
      <w:pPr>
        <w:spacing w:after="0" w:line="240" w:lineRule="auto"/>
      </w:pPr>
    </w:p>
  </w:endnote>
  <w:endnote w:id="2">
    <w:p w14:paraId="559A6343" w14:textId="32D43AC0" w:rsidR="00DD222E" w:rsidRDefault="00DD222E" w:rsidP="00B81B93">
      <w:pPr>
        <w:pStyle w:val="EndnoteText"/>
      </w:pPr>
      <w:r>
        <w:rPr>
          <w:rStyle w:val="EndnoteReference"/>
        </w:rPr>
        <w:endnoteRef/>
      </w:r>
      <w:r>
        <w:t xml:space="preserve"> </w:t>
      </w:r>
      <w:r w:rsidRPr="003E2527">
        <w:t xml:space="preserve">National Disability Insurance Agency </w:t>
      </w:r>
      <w:r>
        <w:t>(</w:t>
      </w:r>
      <w:r w:rsidRPr="003E2527">
        <w:t>NDIA</w:t>
      </w:r>
      <w:r>
        <w:t>)</w:t>
      </w:r>
      <w:r w:rsidRPr="003E2527">
        <w:t xml:space="preserve">, </w:t>
      </w:r>
      <w:r w:rsidRPr="002E6D08">
        <w:rPr>
          <w:i/>
        </w:rPr>
        <w:t>NDIS quarterly report to Disabil</w:t>
      </w:r>
      <w:r>
        <w:rPr>
          <w:i/>
        </w:rPr>
        <w:t xml:space="preserve">ity Ministers for Q2 of 2022-23 </w:t>
      </w:r>
      <w:r w:rsidRPr="002E6D08">
        <w:rPr>
          <w:i/>
        </w:rPr>
        <w:t>financial year</w:t>
      </w:r>
      <w:r w:rsidRPr="003E2527">
        <w:t xml:space="preserve">, </w:t>
      </w:r>
      <w:r>
        <w:t xml:space="preserve">NDIA website, 10 February 2023, </w:t>
      </w:r>
      <w:hyperlink r:id="rId1" w:history="1">
        <w:r w:rsidRPr="00315BFC">
          <w:rPr>
            <w:rStyle w:val="Hyperlink"/>
            <w:rFonts w:asciiTheme="minorHAnsi" w:hAnsiTheme="minorHAnsi"/>
            <w:sz w:val="20"/>
          </w:rPr>
          <w:t>https://www.ndis.gov.au/about-us/publications/quarterly-reports</w:t>
        </w:r>
      </w:hyperlink>
    </w:p>
  </w:endnote>
  <w:endnote w:id="3">
    <w:p w14:paraId="1EDEDDE1" w14:textId="77777777" w:rsidR="00DD222E" w:rsidRDefault="00DD222E" w:rsidP="00B81B93">
      <w:pPr>
        <w:pStyle w:val="EndnoteText"/>
      </w:pPr>
      <w:r>
        <w:rPr>
          <w:rStyle w:val="EndnoteReference"/>
        </w:rPr>
        <w:endnoteRef/>
      </w:r>
      <w:r>
        <w:t xml:space="preserve"> </w:t>
      </w:r>
      <w:r w:rsidRPr="003E2527">
        <w:t xml:space="preserve">Productivity Commission (PC) 2017, </w:t>
      </w:r>
      <w:r w:rsidRPr="003E2527">
        <w:rPr>
          <w:i/>
        </w:rPr>
        <w:t xml:space="preserve">National Disability Insurance </w:t>
      </w:r>
      <w:r>
        <w:rPr>
          <w:i/>
        </w:rPr>
        <w:t>scheme</w:t>
      </w:r>
      <w:r w:rsidRPr="003E2527">
        <w:rPr>
          <w:i/>
        </w:rPr>
        <w:t xml:space="preserve"> (NDIS) Cost</w:t>
      </w:r>
      <w:r w:rsidRPr="003E2527">
        <w:t>s</w:t>
      </w:r>
      <w:r>
        <w:t xml:space="preserve"> – </w:t>
      </w:r>
      <w:r w:rsidRPr="002E6D08">
        <w:rPr>
          <w:i/>
        </w:rPr>
        <w:t>Study Report</w:t>
      </w:r>
      <w:r w:rsidRPr="003E2527">
        <w:t xml:space="preserve">, </w:t>
      </w:r>
      <w:r>
        <w:t xml:space="preserve">PC website, 19 October 2017, </w:t>
      </w:r>
      <w:hyperlink r:id="rId2" w:history="1">
        <w:r w:rsidRPr="00315BFC">
          <w:rPr>
            <w:rStyle w:val="Hyperlink"/>
            <w:rFonts w:asciiTheme="minorHAnsi" w:hAnsiTheme="minorHAnsi"/>
            <w:sz w:val="20"/>
          </w:rPr>
          <w:t>https://www.pc.gov.au/inquiries/completed/ndis-costs</w:t>
        </w:r>
      </w:hyperlink>
    </w:p>
  </w:endnote>
  <w:endnote w:id="4">
    <w:p w14:paraId="66F2C0BA" w14:textId="77777777" w:rsidR="00DD222E" w:rsidRDefault="00DD222E" w:rsidP="00B81B93">
      <w:pPr>
        <w:pStyle w:val="EndnoteText"/>
      </w:pPr>
      <w:r>
        <w:rPr>
          <w:rStyle w:val="EndnoteReference"/>
        </w:rPr>
        <w:endnoteRef/>
      </w:r>
      <w:r>
        <w:t xml:space="preserve"> PC, </w:t>
      </w:r>
      <w:r w:rsidRPr="002E6D08">
        <w:rPr>
          <w:i/>
        </w:rPr>
        <w:t>NDIS Costs</w:t>
      </w:r>
      <w:r>
        <w:t xml:space="preserve"> – </w:t>
      </w:r>
      <w:r w:rsidRPr="002741A8">
        <w:rPr>
          <w:i/>
        </w:rPr>
        <w:t>Study Report</w:t>
      </w:r>
      <w:r>
        <w:t xml:space="preserve">; </w:t>
      </w:r>
      <w:r w:rsidRPr="00651EF7">
        <w:t>Joint Standing Committee on the N</w:t>
      </w:r>
      <w:r>
        <w:t>ational Disability Insurance scheme,</w:t>
      </w:r>
      <w:r w:rsidRPr="00651EF7">
        <w:t xml:space="preserve"> </w:t>
      </w:r>
      <w:r w:rsidRPr="008C2A88">
        <w:rPr>
          <w:i/>
        </w:rPr>
        <w:t>Market Readiness</w:t>
      </w:r>
      <w:r w:rsidRPr="002E6D08">
        <w:rPr>
          <w:i/>
        </w:rPr>
        <w:t xml:space="preserve"> for provision of services under the NDIS - Final Report</w:t>
      </w:r>
      <w:r>
        <w:t xml:space="preserve">, 20 September 2018, pp.63-78 </w:t>
      </w:r>
      <w:hyperlink r:id="rId3" w:history="1">
        <w:r w:rsidRPr="00315BFC">
          <w:rPr>
            <w:rStyle w:val="Hyperlink"/>
            <w:rFonts w:asciiTheme="minorHAnsi" w:hAnsiTheme="minorHAnsi"/>
            <w:sz w:val="20"/>
          </w:rPr>
          <w:t>https://www.aph.gov.au/Parliamentary_Business/Committees/Joint/National_Disability_Insurance_</w:t>
        </w:r>
        <w:r>
          <w:rPr>
            <w:rStyle w:val="Hyperlink"/>
            <w:rFonts w:asciiTheme="minorHAnsi" w:hAnsiTheme="minorHAnsi"/>
            <w:sz w:val="20"/>
          </w:rPr>
          <w:t>scheme</w:t>
        </w:r>
        <w:r w:rsidRPr="00315BFC">
          <w:rPr>
            <w:rStyle w:val="Hyperlink"/>
            <w:rFonts w:asciiTheme="minorHAnsi" w:hAnsiTheme="minorHAnsi"/>
            <w:sz w:val="20"/>
          </w:rPr>
          <w:t>/MarketReadiness/Report</w:t>
        </w:r>
      </w:hyperlink>
      <w:r>
        <w:t xml:space="preserve">; </w:t>
      </w:r>
      <w:r>
        <w:br/>
      </w:r>
      <w:r w:rsidRPr="00651EF7">
        <w:t xml:space="preserve">Joint Standing Committee on the </w:t>
      </w:r>
      <w:r>
        <w:t>NDIS</w:t>
      </w:r>
      <w:r w:rsidRPr="00651EF7">
        <w:t xml:space="preserve">, </w:t>
      </w:r>
      <w:r w:rsidRPr="002E6D08">
        <w:rPr>
          <w:i/>
        </w:rPr>
        <w:t>NDIS Planning Final Report</w:t>
      </w:r>
      <w:r w:rsidRPr="00651EF7">
        <w:t>,</w:t>
      </w:r>
      <w:r>
        <w:t xml:space="preserve"> 1 December 2020</w:t>
      </w:r>
      <w:r w:rsidRPr="00651EF7">
        <w:t xml:space="preserve"> pp. 173-176, 201-211</w:t>
      </w:r>
      <w:r>
        <w:t xml:space="preserve">, </w:t>
      </w:r>
      <w:hyperlink r:id="rId4" w:history="1">
        <w:r w:rsidRPr="00315BFC">
          <w:rPr>
            <w:rStyle w:val="Hyperlink"/>
            <w:rFonts w:asciiTheme="minorHAnsi" w:hAnsiTheme="minorHAnsi"/>
            <w:sz w:val="20"/>
          </w:rPr>
          <w:t>https://www.aph.gov.au/Parliamentary_Business/Committees/Joint/National_Disability_Insurance_</w:t>
        </w:r>
        <w:r>
          <w:rPr>
            <w:rStyle w:val="Hyperlink"/>
            <w:rFonts w:asciiTheme="minorHAnsi" w:hAnsiTheme="minorHAnsi"/>
            <w:sz w:val="20"/>
          </w:rPr>
          <w:t>scheme</w:t>
        </w:r>
        <w:r w:rsidRPr="00315BFC">
          <w:rPr>
            <w:rStyle w:val="Hyperlink"/>
            <w:rFonts w:asciiTheme="minorHAnsi" w:hAnsiTheme="minorHAnsi"/>
            <w:sz w:val="20"/>
          </w:rPr>
          <w:t>/NDISPlanning/Final_Report</w:t>
        </w:r>
      </w:hyperlink>
      <w:r>
        <w:t>;</w:t>
      </w:r>
      <w:r w:rsidRPr="00651EF7">
        <w:rPr>
          <w:sz w:val="22"/>
          <w:szCs w:val="21"/>
        </w:rPr>
        <w:t xml:space="preserve"> </w:t>
      </w:r>
      <w:r>
        <w:rPr>
          <w:sz w:val="22"/>
          <w:szCs w:val="21"/>
        </w:rPr>
        <w:br/>
      </w:r>
      <w:r w:rsidRPr="00651EF7">
        <w:t xml:space="preserve">Joint Standing Committee on the </w:t>
      </w:r>
      <w:r>
        <w:t>NDIS</w:t>
      </w:r>
      <w:r w:rsidRPr="00651EF7">
        <w:t xml:space="preserve">, </w:t>
      </w:r>
      <w:r w:rsidRPr="008C2A88">
        <w:rPr>
          <w:i/>
        </w:rPr>
        <w:t>NDIS Workforce</w:t>
      </w:r>
      <w:r w:rsidRPr="002E6D08">
        <w:rPr>
          <w:i/>
        </w:rPr>
        <w:t xml:space="preserve"> Final Report</w:t>
      </w:r>
      <w:r w:rsidRPr="00651EF7">
        <w:t xml:space="preserve">, </w:t>
      </w:r>
      <w:r>
        <w:t xml:space="preserve">15 February 2022, </w:t>
      </w:r>
      <w:r w:rsidRPr="00651EF7">
        <w:t>pp.23-31, 37-50</w:t>
      </w:r>
      <w:r>
        <w:t xml:space="preserve">, </w:t>
      </w:r>
      <w:hyperlink r:id="rId5" w:history="1">
        <w:r w:rsidRPr="00315BFC">
          <w:rPr>
            <w:rStyle w:val="Hyperlink"/>
            <w:rFonts w:asciiTheme="minorHAnsi" w:hAnsiTheme="minorHAnsi"/>
            <w:sz w:val="20"/>
          </w:rPr>
          <w:t>https://www.aph.gov.au/Parliamentary_Business/Committees/Joint/National_Disability_Insurance_</w:t>
        </w:r>
        <w:r>
          <w:rPr>
            <w:rStyle w:val="Hyperlink"/>
            <w:rFonts w:asciiTheme="minorHAnsi" w:hAnsiTheme="minorHAnsi"/>
            <w:sz w:val="20"/>
          </w:rPr>
          <w:t>scheme</w:t>
        </w:r>
        <w:r w:rsidRPr="00315BFC">
          <w:rPr>
            <w:rStyle w:val="Hyperlink"/>
            <w:rFonts w:asciiTheme="minorHAnsi" w:hAnsiTheme="minorHAnsi"/>
            <w:sz w:val="20"/>
          </w:rPr>
          <w:t>/workforce</w:t>
        </w:r>
      </w:hyperlink>
      <w:r>
        <w:t xml:space="preserve">; </w:t>
      </w:r>
      <w:r>
        <w:br/>
        <w:t xml:space="preserve">D </w:t>
      </w:r>
      <w:r w:rsidRPr="00AB6FEA">
        <w:t>Tun</w:t>
      </w:r>
      <w:r>
        <w:t>e</w:t>
      </w:r>
      <w:r w:rsidRPr="00AB6FEA">
        <w:t xml:space="preserve">, </w:t>
      </w:r>
      <w:r w:rsidRPr="002E6D08">
        <w:rPr>
          <w:i/>
        </w:rPr>
        <w:t xml:space="preserve">Review of the National Disability Insurance </w:t>
      </w:r>
      <w:r>
        <w:rPr>
          <w:i/>
        </w:rPr>
        <w:t>scheme</w:t>
      </w:r>
      <w:r w:rsidRPr="002E6D08">
        <w:rPr>
          <w:i/>
        </w:rPr>
        <w:t xml:space="preserve"> Act 2013</w:t>
      </w:r>
      <w:r w:rsidRPr="00AB6FEA">
        <w:t xml:space="preserve"> </w:t>
      </w:r>
      <w:r w:rsidRPr="002E6D08">
        <w:rPr>
          <w:i/>
        </w:rPr>
        <w:t>Report</w:t>
      </w:r>
      <w:r w:rsidRPr="00AB6FEA">
        <w:t>,</w:t>
      </w:r>
      <w:r>
        <w:t xml:space="preserve"> December 2019,</w:t>
      </w:r>
      <w:r w:rsidRPr="00AB6FEA">
        <w:t xml:space="preserve"> accessed 21 December 2022</w:t>
      </w:r>
      <w:r>
        <w:t xml:space="preserve">, </w:t>
      </w:r>
      <w:hyperlink r:id="rId6" w:history="1">
        <w:r w:rsidRPr="00315BFC">
          <w:rPr>
            <w:rStyle w:val="Hyperlink"/>
            <w:rFonts w:asciiTheme="minorHAnsi" w:hAnsiTheme="minorHAnsi"/>
            <w:sz w:val="20"/>
          </w:rPr>
          <w:t>https://www.dss.gov.au/disability-and-carers-programs-services-for-people-with-disability-national-disability-insurance-scheme/review-of-the-ndis-act-report</w:t>
        </w:r>
      </w:hyperlink>
      <w:r w:rsidRPr="003E2527">
        <w:t>;</w:t>
      </w:r>
      <w:r>
        <w:t xml:space="preserve"> </w:t>
      </w:r>
      <w:r w:rsidRPr="003E2527">
        <w:t xml:space="preserve"> </w:t>
      </w:r>
      <w:r>
        <w:br/>
      </w:r>
      <w:r w:rsidRPr="00651EF7">
        <w:t xml:space="preserve">Joint Standing Committee on the </w:t>
      </w:r>
      <w:r>
        <w:t>NDIS</w:t>
      </w:r>
      <w:r w:rsidRPr="00651EF7">
        <w:t xml:space="preserve">, </w:t>
      </w:r>
      <w:r>
        <w:rPr>
          <w:i/>
        </w:rPr>
        <w:t>General issues</w:t>
      </w:r>
      <w:r w:rsidRPr="002E6D08">
        <w:rPr>
          <w:i/>
        </w:rPr>
        <w:t xml:space="preserve"> 2021</w:t>
      </w:r>
      <w:r w:rsidRPr="00AB6FEA">
        <w:t xml:space="preserve">, </w:t>
      </w:r>
      <w:r>
        <w:t>30 November 2021</w:t>
      </w:r>
      <w:r w:rsidRPr="00AB6FEA">
        <w:t>, pp.</w:t>
      </w:r>
      <w:r>
        <w:t xml:space="preserve">122, </w:t>
      </w:r>
      <w:hyperlink r:id="rId7" w:history="1">
        <w:r w:rsidRPr="00315BFC">
          <w:rPr>
            <w:rStyle w:val="Hyperlink"/>
            <w:rFonts w:asciiTheme="minorHAnsi" w:hAnsiTheme="minorHAnsi"/>
            <w:sz w:val="20"/>
          </w:rPr>
          <w:t>https://www.aph.gov.au/Parliamentary_Business/Committees/Joint/National_Disability_Insurance_</w:t>
        </w:r>
        <w:r>
          <w:rPr>
            <w:rStyle w:val="Hyperlink"/>
            <w:rFonts w:asciiTheme="minorHAnsi" w:hAnsiTheme="minorHAnsi"/>
            <w:sz w:val="20"/>
          </w:rPr>
          <w:t>scheme</w:t>
        </w:r>
        <w:r w:rsidRPr="00315BFC">
          <w:rPr>
            <w:rStyle w:val="Hyperlink"/>
            <w:rFonts w:asciiTheme="minorHAnsi" w:hAnsiTheme="minorHAnsi"/>
            <w:sz w:val="20"/>
          </w:rPr>
          <w:t>/GeneralIssues/Report_2021</w:t>
        </w:r>
      </w:hyperlink>
      <w:r>
        <w:t xml:space="preserve">; </w:t>
      </w:r>
      <w:r>
        <w:br/>
      </w:r>
      <w:r w:rsidRPr="00AB6FEA">
        <w:t>Queenslan</w:t>
      </w:r>
      <w:r>
        <w:t>d Productivity Commission (QPC)</w:t>
      </w:r>
      <w:r w:rsidRPr="00AB6FEA">
        <w:t xml:space="preserve">, </w:t>
      </w:r>
      <w:r w:rsidRPr="002E6D08">
        <w:rPr>
          <w:i/>
        </w:rPr>
        <w:t xml:space="preserve">Inquiry into </w:t>
      </w:r>
      <w:r w:rsidRPr="008C2A88">
        <w:rPr>
          <w:i/>
        </w:rPr>
        <w:t xml:space="preserve">The NDIS Market in </w:t>
      </w:r>
      <w:r w:rsidRPr="002E6D08">
        <w:rPr>
          <w:i/>
        </w:rPr>
        <w:t>Queensland</w:t>
      </w:r>
      <w:r>
        <w:t xml:space="preserve"> </w:t>
      </w:r>
      <w:r w:rsidRPr="002E6D08">
        <w:rPr>
          <w:i/>
        </w:rPr>
        <w:t>Final Report</w:t>
      </w:r>
      <w:r>
        <w:t>, April 2021, p</w:t>
      </w:r>
      <w:r w:rsidRPr="00A15189">
        <w:t>p.256</w:t>
      </w:r>
      <w:r>
        <w:t xml:space="preserve">, </w:t>
      </w:r>
      <w:hyperlink r:id="rId8" w:history="1">
        <w:r w:rsidRPr="00315BFC">
          <w:rPr>
            <w:rStyle w:val="Hyperlink"/>
            <w:rFonts w:asciiTheme="minorHAnsi" w:hAnsiTheme="minorHAnsi"/>
            <w:sz w:val="20"/>
          </w:rPr>
          <w:t>https://www.treasury.qld.gov.au/queenslands-economy/office-of-productivity-and-red-tape-reduction/former-queensland-productivity-commission/</w:t>
        </w:r>
      </w:hyperlink>
      <w:r>
        <w:t xml:space="preserve"> </w:t>
      </w:r>
    </w:p>
  </w:endnote>
  <w:endnote w:id="5">
    <w:p w14:paraId="2DB1977A" w14:textId="77777777" w:rsidR="00DD222E" w:rsidRDefault="00DD222E" w:rsidP="00E949E0">
      <w:pPr>
        <w:pStyle w:val="EndnoteText"/>
      </w:pPr>
      <w:r>
        <w:rPr>
          <w:rStyle w:val="EndnoteReference"/>
        </w:rPr>
        <w:endnoteRef/>
      </w:r>
      <w:r>
        <w:t xml:space="preserve"> </w:t>
      </w:r>
      <w:r w:rsidRPr="00A456ED">
        <w:t>Department of Social Services (DSS)</w:t>
      </w:r>
      <w:r w:rsidRPr="00064C6B">
        <w:t xml:space="preserve">, </w:t>
      </w:r>
      <w:r w:rsidRPr="00064C6B">
        <w:rPr>
          <w:i/>
        </w:rPr>
        <w:t>Analysis on NDIS monthly data sets as at 31 December 2022</w:t>
      </w:r>
      <w:r w:rsidRPr="00064C6B">
        <w:t xml:space="preserve">, </w:t>
      </w:r>
      <w:r>
        <w:t>unpublished, accessed March 2023</w:t>
      </w:r>
    </w:p>
  </w:endnote>
  <w:endnote w:id="6">
    <w:p w14:paraId="587BF30D" w14:textId="77777777" w:rsidR="00DD222E" w:rsidRDefault="00DD222E" w:rsidP="00DF335E">
      <w:pPr>
        <w:pStyle w:val="EndnoteText"/>
      </w:pPr>
      <w:r>
        <w:rPr>
          <w:rStyle w:val="EndnoteReference"/>
        </w:rPr>
        <w:endnoteRef/>
      </w:r>
      <w:r>
        <w:t xml:space="preserve"> PC, </w:t>
      </w:r>
      <w:r w:rsidRPr="002741A8">
        <w:rPr>
          <w:i/>
        </w:rPr>
        <w:t>NDIS Costs</w:t>
      </w:r>
      <w:r>
        <w:t xml:space="preserve"> – </w:t>
      </w:r>
      <w:r w:rsidRPr="002741A8">
        <w:rPr>
          <w:i/>
        </w:rPr>
        <w:t>Study Report</w:t>
      </w:r>
      <w:r>
        <w:t xml:space="preserve">; </w:t>
      </w:r>
      <w:r w:rsidRPr="00651EF7">
        <w:t>Joint Standing Committee on the N</w:t>
      </w:r>
      <w:r>
        <w:t>ational Disability Insurance scheme,</w:t>
      </w:r>
      <w:r w:rsidRPr="00651EF7">
        <w:t xml:space="preserve"> </w:t>
      </w:r>
      <w:r w:rsidRPr="002741A8">
        <w:rPr>
          <w:i/>
        </w:rPr>
        <w:t>Market Readiness for provision of services under the NDIS - Final Report</w:t>
      </w:r>
      <w:r w:rsidRPr="003E2527">
        <w:t>, pp.3-78</w:t>
      </w:r>
    </w:p>
  </w:endnote>
  <w:endnote w:id="7">
    <w:p w14:paraId="75DA120C" w14:textId="77777777" w:rsidR="00DD222E" w:rsidRPr="003E2527" w:rsidRDefault="00DD222E" w:rsidP="00D64D30">
      <w:pPr>
        <w:pStyle w:val="Reference"/>
        <w:spacing w:after="0" w:line="240" w:lineRule="auto"/>
        <w:rPr>
          <w:sz w:val="20"/>
          <w:szCs w:val="20"/>
        </w:rPr>
      </w:pPr>
      <w:r w:rsidRPr="003E2527">
        <w:rPr>
          <w:rStyle w:val="EndnoteReference"/>
        </w:rPr>
        <w:endnoteRef/>
      </w:r>
      <w:r w:rsidRPr="003E2527">
        <w:rPr>
          <w:rStyle w:val="EndnoteReference"/>
        </w:rPr>
        <w:t xml:space="preserve"> </w:t>
      </w:r>
      <w:r w:rsidRPr="003E2527">
        <w:rPr>
          <w:sz w:val="20"/>
          <w:szCs w:val="20"/>
        </w:rPr>
        <w:t>E</w:t>
      </w:r>
      <w:r>
        <w:rPr>
          <w:sz w:val="20"/>
          <w:szCs w:val="20"/>
        </w:rPr>
        <w:t>rnst and Young</w:t>
      </w:r>
      <w:r w:rsidRPr="003E2527">
        <w:rPr>
          <w:sz w:val="20"/>
          <w:szCs w:val="20"/>
        </w:rPr>
        <w:t xml:space="preserve">, </w:t>
      </w:r>
      <w:r w:rsidRPr="003E2527">
        <w:rPr>
          <w:i/>
          <w:sz w:val="20"/>
          <w:szCs w:val="20"/>
        </w:rPr>
        <w:t xml:space="preserve">NDIS Thin Markets Project – Approach to Thin </w:t>
      </w:r>
      <w:r w:rsidRPr="008C2A88">
        <w:rPr>
          <w:i/>
          <w:sz w:val="20"/>
          <w:szCs w:val="20"/>
        </w:rPr>
        <w:t>Market</w:t>
      </w:r>
      <w:r w:rsidRPr="002E6D08">
        <w:rPr>
          <w:i/>
          <w:sz w:val="20"/>
          <w:szCs w:val="20"/>
        </w:rPr>
        <w:t xml:space="preserve"> – Final Report</w:t>
      </w:r>
      <w:r>
        <w:rPr>
          <w:sz w:val="20"/>
          <w:szCs w:val="20"/>
        </w:rPr>
        <w:t xml:space="preserve">, December 2019, </w:t>
      </w:r>
      <w:r w:rsidRPr="003E2527">
        <w:rPr>
          <w:sz w:val="20"/>
          <w:szCs w:val="20"/>
        </w:rPr>
        <w:t>unpublished</w:t>
      </w:r>
    </w:p>
  </w:endnote>
  <w:endnote w:id="8">
    <w:p w14:paraId="37E2843F" w14:textId="77777777" w:rsidR="00DD222E" w:rsidRDefault="00DD222E" w:rsidP="00D64D30">
      <w:pPr>
        <w:pStyle w:val="EndnoteText"/>
      </w:pPr>
      <w:r>
        <w:rPr>
          <w:rStyle w:val="EndnoteReference"/>
        </w:rPr>
        <w:endnoteRef/>
      </w:r>
      <w:r>
        <w:t xml:space="preserve"> </w:t>
      </w:r>
      <w:r w:rsidRPr="00760EBF">
        <w:t xml:space="preserve">Disability Reform Council, </w:t>
      </w:r>
      <w:r w:rsidRPr="002E6D08">
        <w:rPr>
          <w:i/>
        </w:rPr>
        <w:t>Meeting of the COAG Disability Reform Council Communique</w:t>
      </w:r>
      <w:r w:rsidRPr="00760EBF">
        <w:t>, 13 December 2019</w:t>
      </w:r>
      <w:r>
        <w:t xml:space="preserve">, DSS website, </w:t>
      </w:r>
      <w:hyperlink r:id="rId9" w:history="1">
        <w:r w:rsidRPr="00315BFC">
          <w:rPr>
            <w:rStyle w:val="Hyperlink"/>
            <w:rFonts w:asciiTheme="minorHAnsi" w:hAnsiTheme="minorHAnsi"/>
            <w:sz w:val="20"/>
          </w:rPr>
          <w:t>https://webarchive.nla.gov.au/awa/20220604013729/https://www.dss.gov.au/disability-and-carers-programs-services-government-international-disability-reform-council/communique-13-december-2019</w:t>
        </w:r>
      </w:hyperlink>
      <w:r>
        <w:t xml:space="preserve"> </w:t>
      </w:r>
    </w:p>
  </w:endnote>
  <w:endnote w:id="9">
    <w:p w14:paraId="07F8313E" w14:textId="77777777" w:rsidR="00DD222E" w:rsidRPr="00530C79" w:rsidRDefault="00DD222E" w:rsidP="00D64D30">
      <w:pPr>
        <w:pStyle w:val="EndnoteText"/>
      </w:pPr>
      <w:r>
        <w:rPr>
          <w:rStyle w:val="EndnoteReference"/>
        </w:rPr>
        <w:endnoteRef/>
      </w:r>
      <w:r>
        <w:t xml:space="preserve"> </w:t>
      </w:r>
      <w:r w:rsidRPr="003E2527">
        <w:t xml:space="preserve">NDIA, </w:t>
      </w:r>
      <w:r w:rsidRPr="003E2527">
        <w:rPr>
          <w:i/>
        </w:rPr>
        <w:t>Thin Market Trials Evaluation – Final Report</w:t>
      </w:r>
      <w:r>
        <w:t xml:space="preserve">, </w:t>
      </w:r>
      <w:r w:rsidRPr="00530C79">
        <w:t>unpublished, accessed January 2023</w:t>
      </w:r>
    </w:p>
  </w:endnote>
  <w:endnote w:id="10">
    <w:p w14:paraId="78A11AA6" w14:textId="77777777" w:rsidR="00DD222E" w:rsidRDefault="00DD222E" w:rsidP="00D64D30">
      <w:pPr>
        <w:pStyle w:val="EndnoteText"/>
      </w:pPr>
      <w:r>
        <w:rPr>
          <w:rStyle w:val="EndnoteReference"/>
        </w:rPr>
        <w:endnoteRef/>
      </w:r>
      <w:r>
        <w:t xml:space="preserve"> NPY Women’s Council, </w:t>
      </w:r>
      <w:r w:rsidRPr="00651449">
        <w:rPr>
          <w:i/>
        </w:rPr>
        <w:t>Response to Alternative commissioning for remote and First Nations communities</w:t>
      </w:r>
      <w:r>
        <w:rPr>
          <w:i/>
        </w:rPr>
        <w:t xml:space="preserve">, </w:t>
      </w:r>
      <w:r>
        <w:t xml:space="preserve">unpublished, accessed </w:t>
      </w:r>
      <w:r w:rsidRPr="00530C79">
        <w:t>April 2023</w:t>
      </w:r>
    </w:p>
  </w:endnote>
  <w:endnote w:id="11">
    <w:p w14:paraId="57884492" w14:textId="77777777" w:rsidR="00DD222E" w:rsidRDefault="00DD222E" w:rsidP="00D64D30">
      <w:pPr>
        <w:pStyle w:val="EndnoteText"/>
      </w:pPr>
      <w:r>
        <w:rPr>
          <w:rStyle w:val="EndnoteReference"/>
        </w:rPr>
        <w:endnoteRef/>
      </w:r>
      <w:r>
        <w:t xml:space="preserve"> NPY Women’s Council, </w:t>
      </w:r>
      <w:r w:rsidRPr="00651449">
        <w:rPr>
          <w:i/>
        </w:rPr>
        <w:t>Response to Alternative commissioning for remote and First Nations communities</w:t>
      </w:r>
    </w:p>
  </w:endnote>
  <w:endnote w:id="12">
    <w:p w14:paraId="21BB6F08" w14:textId="77777777" w:rsidR="00DD222E" w:rsidRDefault="00DD222E" w:rsidP="00D64D30">
      <w:pPr>
        <w:pStyle w:val="EndnoteText"/>
      </w:pPr>
      <w:r>
        <w:rPr>
          <w:rStyle w:val="EndnoteReference"/>
        </w:rPr>
        <w:endnoteRef/>
      </w:r>
      <w:r>
        <w:t xml:space="preserve"> </w:t>
      </w:r>
      <w:r w:rsidRPr="00651EF7">
        <w:t xml:space="preserve">Joint Standing Committee on the </w:t>
      </w:r>
      <w:r>
        <w:t>NDIS</w:t>
      </w:r>
      <w:r w:rsidRPr="00651EF7">
        <w:t xml:space="preserve">, </w:t>
      </w:r>
      <w:r w:rsidRPr="002741A8">
        <w:rPr>
          <w:i/>
        </w:rPr>
        <w:t>NDIS Workforce Final Report</w:t>
      </w:r>
      <w:r>
        <w:t xml:space="preserve">, pp.23-31; </w:t>
      </w:r>
      <w:r w:rsidRPr="003E2527">
        <w:t xml:space="preserve">QPC, </w:t>
      </w:r>
      <w:r w:rsidRPr="002741A8">
        <w:rPr>
          <w:i/>
        </w:rPr>
        <w:t>Inquiry into The NDIS Market in Queensland</w:t>
      </w:r>
      <w:r>
        <w:t xml:space="preserve"> </w:t>
      </w:r>
      <w:r w:rsidRPr="002741A8">
        <w:rPr>
          <w:i/>
        </w:rPr>
        <w:t>Final Repor</w:t>
      </w:r>
      <w:r>
        <w:rPr>
          <w:i/>
        </w:rPr>
        <w:t>t</w:t>
      </w:r>
      <w:r>
        <w:t>, p.147-163</w:t>
      </w:r>
    </w:p>
  </w:endnote>
  <w:endnote w:id="13">
    <w:p w14:paraId="2E9F3F27" w14:textId="77777777" w:rsidR="00DD222E" w:rsidRDefault="00DD222E" w:rsidP="00D64D30">
      <w:pPr>
        <w:pStyle w:val="EndnoteText"/>
      </w:pPr>
      <w:r>
        <w:rPr>
          <w:rStyle w:val="EndnoteReference"/>
        </w:rPr>
        <w:endnoteRef/>
      </w:r>
      <w:r>
        <w:t xml:space="preserve"> </w:t>
      </w:r>
      <w:r w:rsidRPr="003E2527">
        <w:t xml:space="preserve">NDIA, </w:t>
      </w:r>
      <w:r w:rsidRPr="003E2527">
        <w:rPr>
          <w:i/>
        </w:rPr>
        <w:t>Thin Market Trials Evaluation – Final Report</w:t>
      </w:r>
      <w:r>
        <w:t>, unpublished, accessed January 2023</w:t>
      </w:r>
    </w:p>
  </w:endnote>
  <w:endnote w:id="14">
    <w:p w14:paraId="2E468C51" w14:textId="77777777" w:rsidR="00DD222E" w:rsidRDefault="00DD222E" w:rsidP="00D64D30">
      <w:pPr>
        <w:pStyle w:val="EndnoteText"/>
      </w:pPr>
      <w:r>
        <w:rPr>
          <w:rStyle w:val="EndnoteReference"/>
        </w:rPr>
        <w:endnoteRef/>
      </w:r>
      <w:r>
        <w:t xml:space="preserve"> </w:t>
      </w:r>
      <w:r w:rsidRPr="003E2527">
        <w:t xml:space="preserve">NDIA, </w:t>
      </w:r>
      <w:r w:rsidRPr="003E2527">
        <w:rPr>
          <w:i/>
        </w:rPr>
        <w:t>Thin Market Trials Evaluation – Final Report</w:t>
      </w:r>
    </w:p>
  </w:endnote>
  <w:endnote w:id="15">
    <w:p w14:paraId="21CDD7CF" w14:textId="77777777" w:rsidR="00DD222E" w:rsidRDefault="00DD222E" w:rsidP="00D64D30">
      <w:pPr>
        <w:pStyle w:val="EndnoteText"/>
      </w:pPr>
      <w:r>
        <w:rPr>
          <w:rStyle w:val="EndnoteReference"/>
        </w:rPr>
        <w:endnoteRef/>
      </w:r>
      <w:r>
        <w:t xml:space="preserve"> </w:t>
      </w:r>
      <w:r w:rsidRPr="00AB6FEA">
        <w:t xml:space="preserve">NDIA, </w:t>
      </w:r>
      <w:r>
        <w:rPr>
          <w:i/>
        </w:rPr>
        <w:t>National Remote Services Branch presentation to NDIS Review,</w:t>
      </w:r>
      <w:r>
        <w:t xml:space="preserve"> unpublished, accessed </w:t>
      </w:r>
      <w:r w:rsidRPr="002E6D08">
        <w:t>December 2022</w:t>
      </w:r>
    </w:p>
  </w:endnote>
  <w:endnote w:id="16">
    <w:p w14:paraId="4BE1E75C" w14:textId="77777777" w:rsidR="00DD222E" w:rsidRDefault="00DD222E" w:rsidP="00D64D30">
      <w:pPr>
        <w:pStyle w:val="EndnoteText"/>
      </w:pPr>
      <w:r>
        <w:rPr>
          <w:rStyle w:val="EndnoteReference"/>
        </w:rPr>
        <w:endnoteRef/>
      </w:r>
      <w:r>
        <w:t xml:space="preserve"> D </w:t>
      </w:r>
      <w:r w:rsidRPr="003E2527">
        <w:t xml:space="preserve">Reeders, </w:t>
      </w:r>
      <w:r>
        <w:t xml:space="preserve">G </w:t>
      </w:r>
      <w:r w:rsidRPr="003E2527">
        <w:t xml:space="preserve">Carey, </w:t>
      </w:r>
      <w:r>
        <w:t xml:space="preserve">E </w:t>
      </w:r>
      <w:r w:rsidRPr="003E2527">
        <w:t>Malbon,</w:t>
      </w:r>
      <w:r>
        <w:t xml:space="preserve"> H</w:t>
      </w:r>
      <w:r w:rsidRPr="003E2527">
        <w:t xml:space="preserve"> Dickinson,</w:t>
      </w:r>
      <w:r>
        <w:t xml:space="preserve"> D</w:t>
      </w:r>
      <w:r w:rsidRPr="003E2527">
        <w:t xml:space="preserve"> Gilchrist, </w:t>
      </w:r>
      <w:r>
        <w:t xml:space="preserve">G </w:t>
      </w:r>
      <w:r w:rsidRPr="003E2527">
        <w:t xml:space="preserve">Duff, </w:t>
      </w:r>
      <w:r>
        <w:t xml:space="preserve">S </w:t>
      </w:r>
      <w:r w:rsidRPr="003E2527">
        <w:t xml:space="preserve">Chand, </w:t>
      </w:r>
      <w:r>
        <w:t xml:space="preserve">A </w:t>
      </w:r>
      <w:r w:rsidRPr="003E2527">
        <w:t xml:space="preserve">Kavanagh, &amp; </w:t>
      </w:r>
      <w:r>
        <w:t xml:space="preserve">D </w:t>
      </w:r>
      <w:r w:rsidRPr="003E2527">
        <w:t>Alexander</w:t>
      </w:r>
      <w:r>
        <w:t xml:space="preserve"> </w:t>
      </w:r>
      <w:r w:rsidRPr="003E2527">
        <w:t xml:space="preserve">2019, </w:t>
      </w:r>
      <w:r w:rsidRPr="003E2527">
        <w:rPr>
          <w:i/>
        </w:rPr>
        <w:t>Market Capacity Framework: An approach for identifying thin markets in the NDIS</w:t>
      </w:r>
      <w:r w:rsidRPr="003E2527">
        <w:t xml:space="preserve">, </w:t>
      </w:r>
      <w:r>
        <w:t xml:space="preserve">December 2019, </w:t>
      </w:r>
      <w:r w:rsidRPr="003E2527">
        <w:t xml:space="preserve">Centre for Social Impact: Sydney, </w:t>
      </w:r>
      <w:hyperlink r:id="rId10" w:history="1">
        <w:r w:rsidRPr="00315BFC">
          <w:rPr>
            <w:rStyle w:val="Hyperlink"/>
            <w:rFonts w:asciiTheme="minorHAnsi" w:hAnsiTheme="minorHAnsi"/>
            <w:sz w:val="20"/>
          </w:rPr>
          <w:t>https://www.csi.edu.au/research/market-capacity-framework-an-approach-for-identifying-thin-markets-in-the-ndis/</w:t>
        </w:r>
      </w:hyperlink>
      <w:r>
        <w:t xml:space="preserve"> </w:t>
      </w:r>
    </w:p>
  </w:endnote>
  <w:endnote w:id="17">
    <w:p w14:paraId="34759515" w14:textId="77777777" w:rsidR="00DD222E" w:rsidRDefault="00DD222E" w:rsidP="00D64D30">
      <w:pPr>
        <w:pStyle w:val="EndnoteText"/>
      </w:pPr>
      <w:r>
        <w:rPr>
          <w:rStyle w:val="EndnoteReference"/>
        </w:rPr>
        <w:endnoteRef/>
      </w:r>
      <w:r>
        <w:t xml:space="preserve"> D </w:t>
      </w:r>
      <w:r w:rsidRPr="00AB6FEA">
        <w:t>Tun</w:t>
      </w:r>
      <w:r>
        <w:t>e</w:t>
      </w:r>
      <w:r w:rsidRPr="00AB6FEA">
        <w:t xml:space="preserve">, </w:t>
      </w:r>
      <w:r w:rsidRPr="002741A8">
        <w:rPr>
          <w:i/>
        </w:rPr>
        <w:t xml:space="preserve">Review of the National Disability Insurance </w:t>
      </w:r>
      <w:r>
        <w:rPr>
          <w:i/>
        </w:rPr>
        <w:t>scheme</w:t>
      </w:r>
      <w:r w:rsidRPr="002741A8">
        <w:rPr>
          <w:i/>
        </w:rPr>
        <w:t xml:space="preserve"> Act 2013</w:t>
      </w:r>
      <w:r w:rsidRPr="00AB6FEA">
        <w:t xml:space="preserve"> </w:t>
      </w:r>
      <w:r w:rsidRPr="002741A8">
        <w:rPr>
          <w:i/>
        </w:rPr>
        <w:t>Report</w:t>
      </w:r>
      <w:r>
        <w:t>, pp.123</w:t>
      </w:r>
    </w:p>
  </w:endnote>
  <w:endnote w:id="18">
    <w:p w14:paraId="0A08BBE7" w14:textId="77777777" w:rsidR="00DD222E" w:rsidRDefault="00DD222E" w:rsidP="009B2118">
      <w:pPr>
        <w:pStyle w:val="EndnoteText"/>
      </w:pPr>
      <w:r>
        <w:rPr>
          <w:rStyle w:val="EndnoteReference"/>
        </w:rPr>
        <w:endnoteRef/>
      </w:r>
      <w:r>
        <w:t xml:space="preserve"> </w:t>
      </w:r>
      <w:r w:rsidRPr="003E2527">
        <w:t xml:space="preserve">Productivity Commission (PC) 2017, </w:t>
      </w:r>
      <w:r w:rsidRPr="003E2527">
        <w:rPr>
          <w:i/>
        </w:rPr>
        <w:t xml:space="preserve">National Disability Insurance </w:t>
      </w:r>
      <w:r>
        <w:rPr>
          <w:i/>
        </w:rPr>
        <w:t>scheme</w:t>
      </w:r>
      <w:r w:rsidRPr="003E2527">
        <w:rPr>
          <w:i/>
        </w:rPr>
        <w:t xml:space="preserve"> (NDIS) Cost</w:t>
      </w:r>
      <w:r w:rsidRPr="003E2527">
        <w:t>s</w:t>
      </w:r>
      <w:r>
        <w:t xml:space="preserve"> – </w:t>
      </w:r>
      <w:r w:rsidRPr="002741A8">
        <w:rPr>
          <w:i/>
        </w:rPr>
        <w:t>Study Report</w:t>
      </w:r>
      <w:r w:rsidRPr="003E2527">
        <w:t xml:space="preserve">; </w:t>
      </w:r>
      <w:r>
        <w:t xml:space="preserve">D </w:t>
      </w:r>
      <w:r w:rsidRPr="00AB6FEA">
        <w:t>Tun</w:t>
      </w:r>
      <w:r>
        <w:t>e</w:t>
      </w:r>
      <w:r w:rsidRPr="00AB6FEA">
        <w:t xml:space="preserve">, </w:t>
      </w:r>
      <w:r w:rsidRPr="002741A8">
        <w:rPr>
          <w:i/>
        </w:rPr>
        <w:t xml:space="preserve">Review of the National Disability Insurance </w:t>
      </w:r>
      <w:r>
        <w:rPr>
          <w:i/>
        </w:rPr>
        <w:t>scheme</w:t>
      </w:r>
      <w:r w:rsidRPr="002741A8">
        <w:rPr>
          <w:i/>
        </w:rPr>
        <w:t xml:space="preserve"> Act 2013</w:t>
      </w:r>
      <w:r w:rsidRPr="00AB6FEA">
        <w:t xml:space="preserve"> </w:t>
      </w:r>
      <w:r w:rsidRPr="002741A8">
        <w:rPr>
          <w:i/>
        </w:rPr>
        <w:t>Report</w:t>
      </w:r>
      <w:r>
        <w:t xml:space="preserve">, </w:t>
      </w:r>
      <w:r w:rsidRPr="00AB6FEA">
        <w:t>pp.56-57</w:t>
      </w:r>
    </w:p>
  </w:endnote>
  <w:endnote w:id="19">
    <w:p w14:paraId="0C1D396E" w14:textId="77777777" w:rsidR="00DD222E" w:rsidRDefault="00DD222E" w:rsidP="009B2118">
      <w:pPr>
        <w:pStyle w:val="EndnoteText"/>
      </w:pPr>
      <w:r>
        <w:rPr>
          <w:rStyle w:val="EndnoteReference"/>
        </w:rPr>
        <w:endnoteRef/>
      </w:r>
      <w:r>
        <w:t xml:space="preserve"> Joint Council on Closing the Gap, </w:t>
      </w:r>
      <w:r w:rsidRPr="002E6D08">
        <w:rPr>
          <w:i/>
        </w:rPr>
        <w:t>Disability Sector Strengthening Plan (DSSP)</w:t>
      </w:r>
      <w:r>
        <w:t>, 26 August 2022, Closing the Gap website, pp. 28,</w:t>
      </w:r>
      <w:r w:rsidRPr="00760EBF">
        <w:t xml:space="preserve"> </w:t>
      </w:r>
      <w:r>
        <w:t xml:space="preserve">accessed 11 January 2023, </w:t>
      </w:r>
      <w:hyperlink r:id="rId11" w:history="1">
        <w:r w:rsidRPr="00315BFC">
          <w:rPr>
            <w:rStyle w:val="Hyperlink"/>
            <w:rFonts w:asciiTheme="minorHAnsi" w:hAnsiTheme="minorHAnsi"/>
            <w:sz w:val="20"/>
          </w:rPr>
          <w:t>https://www.closingthegap.gov.au/resources</w:t>
        </w:r>
      </w:hyperlink>
      <w:r>
        <w:t xml:space="preserve"> </w:t>
      </w:r>
    </w:p>
  </w:endnote>
  <w:endnote w:id="20">
    <w:p w14:paraId="5830E064" w14:textId="77777777" w:rsidR="00DD222E" w:rsidRDefault="00DD222E" w:rsidP="009B2118">
      <w:pPr>
        <w:pStyle w:val="EndnoteText"/>
      </w:pPr>
      <w:r>
        <w:rPr>
          <w:rStyle w:val="EndnoteReference"/>
        </w:rPr>
        <w:endnoteRef/>
      </w:r>
      <w:r>
        <w:t xml:space="preserve"> NDIA, </w:t>
      </w:r>
      <w:r w:rsidRPr="002741A8">
        <w:rPr>
          <w:i/>
        </w:rPr>
        <w:t>NDIS quarterly report to Disability Ministers for Q2 of 2022-23 financial year</w:t>
      </w:r>
      <w:r w:rsidRPr="00AB6FEA" w:rsidDel="00C86957">
        <w:t xml:space="preserve"> </w:t>
      </w:r>
    </w:p>
  </w:endnote>
  <w:endnote w:id="21">
    <w:p w14:paraId="661D3557" w14:textId="77777777" w:rsidR="00DD222E" w:rsidRDefault="00DD222E" w:rsidP="009B2118">
      <w:pPr>
        <w:pStyle w:val="EndnoteText"/>
      </w:pPr>
      <w:r>
        <w:rPr>
          <w:rStyle w:val="EndnoteReference"/>
        </w:rPr>
        <w:endnoteRef/>
      </w:r>
      <w:r>
        <w:t xml:space="preserve"> </w:t>
      </w:r>
      <w:r w:rsidRPr="00AB6FEA">
        <w:t xml:space="preserve">NDIA, </w:t>
      </w:r>
      <w:r>
        <w:rPr>
          <w:i/>
        </w:rPr>
        <w:t>National Remote Services Branch presentation to NDIS Review</w:t>
      </w:r>
    </w:p>
  </w:endnote>
  <w:endnote w:id="22">
    <w:p w14:paraId="099442B8" w14:textId="77777777" w:rsidR="00DD222E" w:rsidRDefault="00DD222E" w:rsidP="009B2118">
      <w:pPr>
        <w:pStyle w:val="EndnoteText"/>
      </w:pPr>
      <w:r>
        <w:rPr>
          <w:rStyle w:val="EndnoteReference"/>
        </w:rPr>
        <w:endnoteRef/>
      </w:r>
      <w:r>
        <w:t xml:space="preserve"> </w:t>
      </w:r>
      <w:r w:rsidRPr="00651EF7">
        <w:t xml:space="preserve">Joint Standing Committee on the </w:t>
      </w:r>
      <w:r>
        <w:t>NDIS</w:t>
      </w:r>
      <w:r w:rsidRPr="00651EF7">
        <w:t xml:space="preserve">, </w:t>
      </w:r>
      <w:r w:rsidRPr="002741A8">
        <w:rPr>
          <w:i/>
        </w:rPr>
        <w:t>NDIS Planning Final Report</w:t>
      </w:r>
      <w:r>
        <w:rPr>
          <w:i/>
        </w:rPr>
        <w:t>,</w:t>
      </w:r>
      <w:r w:rsidDel="00C86957">
        <w:t xml:space="preserve"> </w:t>
      </w:r>
      <w:r>
        <w:t>pp.174</w:t>
      </w:r>
    </w:p>
  </w:endnote>
  <w:endnote w:id="23">
    <w:p w14:paraId="17D046D7" w14:textId="77777777" w:rsidR="00DD222E" w:rsidRDefault="00DD222E" w:rsidP="009B2118">
      <w:pPr>
        <w:pStyle w:val="EndnoteText"/>
      </w:pPr>
      <w:r>
        <w:rPr>
          <w:rStyle w:val="EndnoteReference"/>
        </w:rPr>
        <w:endnoteRef/>
      </w:r>
      <w:r>
        <w:t xml:space="preserve"> </w:t>
      </w:r>
      <w:r w:rsidRPr="00651EF7">
        <w:t xml:space="preserve">Joint Standing Committee on the </w:t>
      </w:r>
      <w:r>
        <w:t>NDIS</w:t>
      </w:r>
      <w:r w:rsidRPr="00651EF7">
        <w:t xml:space="preserve">, </w:t>
      </w:r>
      <w:r w:rsidRPr="002741A8">
        <w:rPr>
          <w:i/>
        </w:rPr>
        <w:t>NDIS Planning Final Report</w:t>
      </w:r>
      <w:r w:rsidRPr="00AB6FEA">
        <w:t xml:space="preserve">, pp. </w:t>
      </w:r>
      <w:r>
        <w:t>202</w:t>
      </w:r>
    </w:p>
  </w:endnote>
  <w:endnote w:id="24">
    <w:p w14:paraId="2C3A7036" w14:textId="77777777" w:rsidR="00DD222E" w:rsidRDefault="00DD222E" w:rsidP="009B2118">
      <w:pPr>
        <w:pStyle w:val="EndnoteText"/>
      </w:pPr>
      <w:r>
        <w:rPr>
          <w:rStyle w:val="EndnoteReference"/>
        </w:rPr>
        <w:endnoteRef/>
      </w:r>
      <w:r>
        <w:t xml:space="preserve"> QPC</w:t>
      </w:r>
      <w:r w:rsidRPr="00AB6FEA">
        <w:t xml:space="preserve">, </w:t>
      </w:r>
      <w:r w:rsidRPr="002741A8">
        <w:rPr>
          <w:i/>
        </w:rPr>
        <w:t>Inquiry into The NDIS Market in Queensland</w:t>
      </w:r>
      <w:r>
        <w:t xml:space="preserve"> </w:t>
      </w:r>
      <w:r w:rsidRPr="002741A8">
        <w:rPr>
          <w:i/>
        </w:rPr>
        <w:t>Final Report</w:t>
      </w:r>
      <w:r>
        <w:t xml:space="preserve">, </w:t>
      </w:r>
      <w:r w:rsidRPr="00AB6FEA">
        <w:t>pp.</w:t>
      </w:r>
      <w:r>
        <w:t>378</w:t>
      </w:r>
    </w:p>
  </w:endnote>
  <w:endnote w:id="25">
    <w:p w14:paraId="58EF93BE" w14:textId="77777777" w:rsidR="00DD222E" w:rsidRPr="008C2A88" w:rsidRDefault="00DD222E" w:rsidP="009B2118">
      <w:pPr>
        <w:pStyle w:val="EndnoteText"/>
      </w:pPr>
      <w:r>
        <w:rPr>
          <w:rStyle w:val="EndnoteReference"/>
        </w:rPr>
        <w:endnoteRef/>
      </w:r>
      <w:r>
        <w:t xml:space="preserve"> </w:t>
      </w:r>
      <w:r w:rsidRPr="00AB6FEA">
        <w:t>Melbourne Disability Institute (MDI)</w:t>
      </w:r>
      <w:r>
        <w:t>,</w:t>
      </w:r>
      <w:r w:rsidRPr="00AB6FEA">
        <w:t xml:space="preserve"> </w:t>
      </w:r>
      <w:r w:rsidRPr="002E6D08">
        <w:rPr>
          <w:i/>
        </w:rPr>
        <w:t>Commonwealth Study into NDIS Plan Utilisation Synthesis Report</w:t>
      </w:r>
      <w:r>
        <w:t xml:space="preserve">, June 2021, </w:t>
      </w:r>
      <w:hyperlink r:id="rId12" w:history="1">
        <w:r w:rsidRPr="00315BFC">
          <w:rPr>
            <w:rStyle w:val="Hyperlink"/>
            <w:rFonts w:asciiTheme="minorHAnsi" w:hAnsiTheme="minorHAnsi"/>
            <w:sz w:val="20"/>
          </w:rPr>
          <w:t>https://disability.unimelb.edu.au/home/projects/collaborative-research/ndis-plan-utilisation</w:t>
        </w:r>
      </w:hyperlink>
      <w:r>
        <w:t xml:space="preserve"> </w:t>
      </w:r>
    </w:p>
  </w:endnote>
  <w:endnote w:id="26">
    <w:p w14:paraId="7A03CED7" w14:textId="77777777" w:rsidR="00DD222E" w:rsidRDefault="00DD222E" w:rsidP="009B2118">
      <w:pPr>
        <w:pStyle w:val="EndnoteText"/>
      </w:pPr>
      <w:r>
        <w:rPr>
          <w:rStyle w:val="EndnoteReference"/>
        </w:rPr>
        <w:endnoteRef/>
      </w:r>
      <w:r>
        <w:t xml:space="preserve"> </w:t>
      </w:r>
      <w:r w:rsidRPr="00651EF7">
        <w:t xml:space="preserve">Joint Standing Committee on the </w:t>
      </w:r>
      <w:r>
        <w:t>NDIS</w:t>
      </w:r>
      <w:r w:rsidRPr="00651EF7">
        <w:t xml:space="preserve">, </w:t>
      </w:r>
      <w:r w:rsidRPr="002741A8">
        <w:rPr>
          <w:i/>
        </w:rPr>
        <w:t>NDIS Planning Final Report</w:t>
      </w:r>
      <w:r>
        <w:rPr>
          <w:i/>
        </w:rPr>
        <w:t>,</w:t>
      </w:r>
      <w:r w:rsidDel="00C86957">
        <w:t xml:space="preserve"> </w:t>
      </w:r>
      <w:r>
        <w:t>pp.174</w:t>
      </w:r>
    </w:p>
  </w:endnote>
  <w:endnote w:id="27">
    <w:p w14:paraId="469CB948" w14:textId="77777777" w:rsidR="00DD222E" w:rsidRDefault="00DD222E" w:rsidP="00A3485B">
      <w:pPr>
        <w:pStyle w:val="EndnoteText"/>
      </w:pPr>
      <w:r>
        <w:rPr>
          <w:rStyle w:val="EndnoteReference"/>
        </w:rPr>
        <w:endnoteRef/>
      </w:r>
      <w:r>
        <w:t xml:space="preserve"> NDIA</w:t>
      </w:r>
      <w:r w:rsidRPr="00AB6FEA">
        <w:t xml:space="preserve">, </w:t>
      </w:r>
      <w:r w:rsidRPr="002E6D08">
        <w:rPr>
          <w:i/>
        </w:rPr>
        <w:t>Number of indigenous, registered providers as at December 2022</w:t>
      </w:r>
      <w:r>
        <w:t xml:space="preserve">, n.d. </w:t>
      </w:r>
      <w:r w:rsidRPr="00AB6FEA">
        <w:t>(unpublished)</w:t>
      </w:r>
    </w:p>
  </w:endnote>
  <w:endnote w:id="28">
    <w:p w14:paraId="057CDD92" w14:textId="77777777" w:rsidR="00DD222E" w:rsidRDefault="00DD222E" w:rsidP="00A3485B">
      <w:pPr>
        <w:pStyle w:val="EndnoteText"/>
      </w:pPr>
      <w:r>
        <w:rPr>
          <w:rStyle w:val="EndnoteReference"/>
        </w:rPr>
        <w:endnoteRef/>
      </w:r>
      <w:r>
        <w:t xml:space="preserve"> R </w:t>
      </w:r>
      <w:r w:rsidRPr="00A456ED">
        <w:t xml:space="preserve">Barker, </w:t>
      </w:r>
      <w:r>
        <w:t xml:space="preserve">K </w:t>
      </w:r>
      <w:r w:rsidRPr="00A456ED">
        <w:t xml:space="preserve">Bird, </w:t>
      </w:r>
      <w:r>
        <w:t xml:space="preserve">I </w:t>
      </w:r>
      <w:r w:rsidRPr="00A456ED">
        <w:t xml:space="preserve">Bohanna, </w:t>
      </w:r>
      <w:r>
        <w:t xml:space="preserve">F </w:t>
      </w:r>
      <w:r w:rsidRPr="00A456ED">
        <w:t xml:space="preserve">Thompson, </w:t>
      </w:r>
      <w:r>
        <w:t xml:space="preserve">K </w:t>
      </w:r>
      <w:r w:rsidRPr="00A456ED">
        <w:t xml:space="preserve">Lawson, </w:t>
      </w:r>
      <w:r>
        <w:t xml:space="preserve">L </w:t>
      </w:r>
      <w:r w:rsidRPr="00A456ED">
        <w:t xml:space="preserve">Blanco, </w:t>
      </w:r>
      <w:r>
        <w:t xml:space="preserve">L </w:t>
      </w:r>
      <w:r w:rsidRPr="00A456ED">
        <w:t xml:space="preserve">Mick-Ramsamy, </w:t>
      </w:r>
      <w:r>
        <w:t xml:space="preserve">L </w:t>
      </w:r>
      <w:r w:rsidRPr="00A456ED">
        <w:t>Harriss,</w:t>
      </w:r>
      <w:r>
        <w:t xml:space="preserve"> J</w:t>
      </w:r>
      <w:r w:rsidRPr="00A456ED">
        <w:t xml:space="preserve"> McLucas, </w:t>
      </w:r>
      <w:r>
        <w:t xml:space="preserve">M </w:t>
      </w:r>
      <w:r w:rsidRPr="00A456ED">
        <w:t xml:space="preserve">McDonald, </w:t>
      </w:r>
      <w:r>
        <w:t xml:space="preserve">J </w:t>
      </w:r>
      <w:r w:rsidRPr="00A456ED">
        <w:t xml:space="preserve">Cullen, </w:t>
      </w:r>
      <w:r>
        <w:t xml:space="preserve">H </w:t>
      </w:r>
      <w:r w:rsidRPr="00A456ED">
        <w:t>Wapau,</w:t>
      </w:r>
      <w:r>
        <w:t xml:space="preserve"> S</w:t>
      </w:r>
      <w:r w:rsidRPr="00A456ED">
        <w:t xml:space="preserve"> Forbes, </w:t>
      </w:r>
      <w:r>
        <w:t xml:space="preserve">A </w:t>
      </w:r>
      <w:r w:rsidRPr="00A456ED">
        <w:t xml:space="preserve">Wason, and </w:t>
      </w:r>
      <w:r>
        <w:t xml:space="preserve">E </w:t>
      </w:r>
      <w:r w:rsidRPr="00A456ED">
        <w:t xml:space="preserve">Strivens, </w:t>
      </w:r>
      <w:r w:rsidRPr="00A456ED">
        <w:rPr>
          <w:i/>
        </w:rPr>
        <w:t>FNQ Connect: Connecting people connecting care. A proposal for reform of Far North Queensland Disability, Rehabilitation and Lifestyle Services for children, young people, adults and older people 2022 – 2027</w:t>
      </w:r>
      <w:r w:rsidRPr="00A456ED">
        <w:t>, James Cook University, Cairns</w:t>
      </w:r>
      <w:r>
        <w:t xml:space="preserve">, pp.17, </w:t>
      </w:r>
      <w:hyperlink r:id="rId13" w:history="1">
        <w:r w:rsidRPr="00315BFC">
          <w:rPr>
            <w:rStyle w:val="Hyperlink"/>
            <w:rFonts w:asciiTheme="minorHAnsi" w:hAnsiTheme="minorHAnsi"/>
            <w:sz w:val="20"/>
          </w:rPr>
          <w:t>https://researchonline.jcu.edu.au/72985/</w:t>
        </w:r>
      </w:hyperlink>
      <w:r>
        <w:t xml:space="preserve">; Joint Council on Closing the Gap, </w:t>
      </w:r>
      <w:r w:rsidRPr="002741A8">
        <w:rPr>
          <w:i/>
        </w:rPr>
        <w:t>Disability Sector Strengthening Plan (DSSP)</w:t>
      </w:r>
      <w:r>
        <w:t>, pp.29</w:t>
      </w:r>
    </w:p>
  </w:endnote>
  <w:endnote w:id="29">
    <w:p w14:paraId="52BB6088" w14:textId="77777777" w:rsidR="00DD222E" w:rsidRDefault="00DD222E" w:rsidP="00A3485B">
      <w:pPr>
        <w:pStyle w:val="EndnoteText"/>
      </w:pPr>
      <w:r>
        <w:rPr>
          <w:rStyle w:val="EndnoteReference"/>
        </w:rPr>
        <w:endnoteRef/>
      </w:r>
      <w:r>
        <w:t xml:space="preserve"> Joint Council on Closing the Gap, </w:t>
      </w:r>
      <w:r w:rsidRPr="008A59C3">
        <w:rPr>
          <w:i/>
        </w:rPr>
        <w:t>DSSP</w:t>
      </w:r>
    </w:p>
  </w:endnote>
  <w:endnote w:id="30">
    <w:p w14:paraId="48DA4E82" w14:textId="77777777" w:rsidR="00DD222E" w:rsidRDefault="00DD222E" w:rsidP="00A3485B">
      <w:pPr>
        <w:pStyle w:val="EndnoteText"/>
      </w:pPr>
      <w:r>
        <w:rPr>
          <w:rStyle w:val="EndnoteReference"/>
        </w:rPr>
        <w:endnoteRef/>
      </w:r>
      <w:r>
        <w:t xml:space="preserve"> </w:t>
      </w:r>
      <w:r w:rsidRPr="00A83283">
        <w:t xml:space="preserve">NDIA, </w:t>
      </w:r>
      <w:r w:rsidRPr="00A83283">
        <w:rPr>
          <w:i/>
        </w:rPr>
        <w:t>NDIS in Remote Programs</w:t>
      </w:r>
      <w:r>
        <w:t>, 2022, n.d</w:t>
      </w:r>
      <w:r w:rsidRPr="00A83283">
        <w:rPr>
          <w:i/>
        </w:rPr>
        <w:t xml:space="preserve"> (unpublished)</w:t>
      </w:r>
    </w:p>
  </w:endnote>
  <w:endnote w:id="31">
    <w:p w14:paraId="7A02B15B" w14:textId="77777777" w:rsidR="00DD222E" w:rsidRDefault="00DD222E" w:rsidP="00A3485B">
      <w:pPr>
        <w:pStyle w:val="EndnoteText"/>
      </w:pPr>
      <w:r>
        <w:rPr>
          <w:rStyle w:val="EndnoteReference"/>
        </w:rPr>
        <w:endnoteRef/>
      </w:r>
      <w:r>
        <w:t xml:space="preserve"> </w:t>
      </w:r>
      <w:r w:rsidRPr="00A83283">
        <w:t xml:space="preserve">KimberleySupports, </w:t>
      </w:r>
      <w:r w:rsidRPr="002E6D08">
        <w:rPr>
          <w:i/>
        </w:rPr>
        <w:t>Building a Stronger NDIS Together</w:t>
      </w:r>
      <w:r>
        <w:t xml:space="preserve"> </w:t>
      </w:r>
      <w:r w:rsidRPr="00372FB1">
        <w:rPr>
          <w:i/>
        </w:rPr>
        <w:t>– presentation to Disability Reform Ministers’ Meeting on 13 October 2022</w:t>
      </w:r>
      <w:r>
        <w:t>, unpublished, accessed December 2022</w:t>
      </w:r>
    </w:p>
  </w:endnote>
  <w:endnote w:id="32">
    <w:p w14:paraId="0CECCFEE" w14:textId="77777777" w:rsidR="00DD222E" w:rsidRDefault="00DD222E" w:rsidP="00A3485B">
      <w:pPr>
        <w:pStyle w:val="EndnoteText"/>
      </w:pPr>
      <w:r>
        <w:rPr>
          <w:rStyle w:val="EndnoteReference"/>
        </w:rPr>
        <w:endnoteRef/>
      </w:r>
      <w:r>
        <w:t xml:space="preserve"> QPC, </w:t>
      </w:r>
      <w:r w:rsidRPr="002E6D08">
        <w:rPr>
          <w:i/>
        </w:rPr>
        <w:t>Service delivery in remote and discrete Aboriginal and Torres Strait Islander communities</w:t>
      </w:r>
      <w:r w:rsidRPr="00C309F7">
        <w:rPr>
          <w:i/>
        </w:rPr>
        <w:t xml:space="preserve"> Final Report</w:t>
      </w:r>
      <w:r>
        <w:t xml:space="preserve">, December 2017, </w:t>
      </w:r>
      <w:hyperlink r:id="rId14" w:history="1">
        <w:r w:rsidRPr="004A5A2D">
          <w:rPr>
            <w:rStyle w:val="Hyperlink"/>
            <w:rFonts w:asciiTheme="minorHAnsi" w:hAnsiTheme="minorHAnsi"/>
            <w:sz w:val="20"/>
          </w:rPr>
          <w:t>https://www.dsdsatsip.qld.gov.au/our-work/aboriginal-torres-strait-islander-partnerships/discrete-remote-communities/queensland-productivity-commission-service-delivery-inquiry</w:t>
        </w:r>
      </w:hyperlink>
      <w:r>
        <w:t>;  PC</w:t>
      </w:r>
      <w:r w:rsidRPr="00AB6FEA">
        <w:t xml:space="preserve">, </w:t>
      </w:r>
      <w:r w:rsidRPr="00AB6FEA">
        <w:rPr>
          <w:i/>
        </w:rPr>
        <w:t>Indigenous Evaluation Strategy</w:t>
      </w:r>
      <w:r w:rsidRPr="00AB6FEA">
        <w:t xml:space="preserve">, </w:t>
      </w:r>
      <w:r>
        <w:t xml:space="preserve">30 October 2020, p.80-81, </w:t>
      </w:r>
      <w:hyperlink r:id="rId15" w:anchor="report" w:history="1">
        <w:r w:rsidRPr="004A5A2D">
          <w:rPr>
            <w:rStyle w:val="Hyperlink"/>
            <w:rFonts w:asciiTheme="minorHAnsi" w:hAnsiTheme="minorHAnsi"/>
            <w:sz w:val="20"/>
          </w:rPr>
          <w:t>https://www.pc.gov.au/inquiries/completed/indigenous-evaluation#report</w:t>
        </w:r>
      </w:hyperlink>
      <w:r>
        <w:t xml:space="preserve"> </w:t>
      </w:r>
    </w:p>
  </w:endnote>
  <w:endnote w:id="33">
    <w:p w14:paraId="73F19953" w14:textId="77777777" w:rsidR="00DD222E" w:rsidRDefault="00DD222E" w:rsidP="00A3485B">
      <w:pPr>
        <w:pStyle w:val="EndnoteText"/>
      </w:pPr>
      <w:r>
        <w:rPr>
          <w:rStyle w:val="EndnoteReference"/>
        </w:rPr>
        <w:endnoteRef/>
      </w:r>
      <w:r>
        <w:t xml:space="preserve"> QPC</w:t>
      </w:r>
      <w:r w:rsidRPr="00AB6FEA">
        <w:t xml:space="preserve">, </w:t>
      </w:r>
      <w:r w:rsidRPr="002741A8">
        <w:rPr>
          <w:i/>
        </w:rPr>
        <w:t>Inquiry into The NDIS Market in Queensland</w:t>
      </w:r>
      <w:r>
        <w:t xml:space="preserve"> </w:t>
      </w:r>
      <w:r w:rsidRPr="002741A8">
        <w:rPr>
          <w:i/>
        </w:rPr>
        <w:t xml:space="preserve">Final </w:t>
      </w:r>
      <w:r w:rsidRPr="00C309F7">
        <w:t>Report</w:t>
      </w:r>
      <w:r>
        <w:t xml:space="preserve">, </w:t>
      </w:r>
      <w:r w:rsidRPr="00C309F7">
        <w:t>pp</w:t>
      </w:r>
      <w:r>
        <w:t>.380</w:t>
      </w:r>
    </w:p>
  </w:endnote>
  <w:endnote w:id="34">
    <w:p w14:paraId="16940A61" w14:textId="77777777" w:rsidR="00DD222E" w:rsidRDefault="00DD222E" w:rsidP="00A3485B">
      <w:pPr>
        <w:pStyle w:val="EndnoteText"/>
      </w:pPr>
      <w:r>
        <w:rPr>
          <w:rStyle w:val="EndnoteReference"/>
        </w:rPr>
        <w:endnoteRef/>
      </w:r>
      <w:r>
        <w:t xml:space="preserve"> </w:t>
      </w:r>
      <w:r w:rsidRPr="00AB6FEA">
        <w:t xml:space="preserve">PC, </w:t>
      </w:r>
      <w:r w:rsidRPr="00AB6FEA">
        <w:rPr>
          <w:i/>
        </w:rPr>
        <w:t>Introducing Competition and Informed User Choice into Human Services: Reforms to Human Services</w:t>
      </w:r>
      <w:r>
        <w:rPr>
          <w:i/>
        </w:rPr>
        <w:t xml:space="preserve"> Inquiry Report</w:t>
      </w:r>
      <w:r w:rsidRPr="00AB6FEA">
        <w:t xml:space="preserve">, </w:t>
      </w:r>
      <w:r>
        <w:t>26 March 2018,</w:t>
      </w:r>
      <w:r w:rsidRPr="00AB6FEA">
        <w:t xml:space="preserve"> pp.</w:t>
      </w:r>
      <w:r>
        <w:t xml:space="preserve">268, </w:t>
      </w:r>
      <w:hyperlink r:id="rId16" w:history="1">
        <w:r w:rsidRPr="004A5A2D">
          <w:rPr>
            <w:rStyle w:val="Hyperlink"/>
            <w:rFonts w:asciiTheme="minorHAnsi" w:hAnsiTheme="minorHAnsi"/>
            <w:sz w:val="20"/>
          </w:rPr>
          <w:t>https://www.pc.gov.au/inquiries/completed/human-services/reforms/report</w:t>
        </w:r>
      </w:hyperlink>
      <w:r>
        <w:t xml:space="preserve">; </w:t>
      </w:r>
      <w:r w:rsidRPr="00AB6FEA">
        <w:t xml:space="preserve">McKinsey &amp; Company, </w:t>
      </w:r>
      <w:r w:rsidRPr="00AB6FEA">
        <w:rPr>
          <w:i/>
        </w:rPr>
        <w:t>Independent Pricing Review, National Disability Insurance Agen</w:t>
      </w:r>
      <w:r>
        <w:rPr>
          <w:i/>
        </w:rPr>
        <w:t xml:space="preserve">cy: Final Report, </w:t>
      </w:r>
      <w:r w:rsidRPr="00C309F7">
        <w:t>February 2018</w:t>
      </w:r>
      <w:r>
        <w:rPr>
          <w:i/>
        </w:rPr>
        <w:t>,</w:t>
      </w:r>
      <w:r w:rsidRPr="00AB6FEA">
        <w:rPr>
          <w:i/>
        </w:rPr>
        <w:t xml:space="preserve"> </w:t>
      </w:r>
      <w:r w:rsidRPr="00AB6FEA">
        <w:t>NDIA</w:t>
      </w:r>
      <w:r>
        <w:t xml:space="preserve"> website</w:t>
      </w:r>
      <w:r w:rsidRPr="00AB6FEA">
        <w:t xml:space="preserve">, accessed 11 January 2023, </w:t>
      </w:r>
      <w:r w:rsidRPr="00AA1EDE">
        <w:rPr>
          <w:rStyle w:val="Hyperlink"/>
          <w:rFonts w:asciiTheme="minorHAnsi" w:hAnsiTheme="minorHAnsi"/>
          <w:sz w:val="20"/>
        </w:rPr>
        <w:t>https://www.ndis.gov.au/providers/pricing-arrangements/making-pricing-decisions/pricing-review-archive</w:t>
      </w:r>
    </w:p>
  </w:endnote>
  <w:endnote w:id="35">
    <w:p w14:paraId="485EDD37" w14:textId="77777777" w:rsidR="00DD222E" w:rsidRDefault="00DD222E" w:rsidP="00A3485B">
      <w:pPr>
        <w:pStyle w:val="EndnoteText"/>
      </w:pPr>
      <w:r>
        <w:rPr>
          <w:rStyle w:val="EndnoteReference"/>
        </w:rPr>
        <w:endnoteRef/>
      </w:r>
      <w:r>
        <w:t xml:space="preserve"> QPC</w:t>
      </w:r>
      <w:r w:rsidRPr="00AB6FEA">
        <w:t xml:space="preserve">, </w:t>
      </w:r>
      <w:r w:rsidRPr="002741A8">
        <w:rPr>
          <w:i/>
        </w:rPr>
        <w:t>Inquiry into The NDIS Market in Queensland</w:t>
      </w:r>
      <w:r>
        <w:t xml:space="preserve"> </w:t>
      </w:r>
      <w:r w:rsidRPr="002741A8">
        <w:rPr>
          <w:i/>
        </w:rPr>
        <w:t xml:space="preserve">Final </w:t>
      </w:r>
      <w:r w:rsidRPr="00C309F7">
        <w:t>Report</w:t>
      </w:r>
      <w:r>
        <w:t>, pp.385, 395-6</w:t>
      </w:r>
    </w:p>
  </w:endnote>
  <w:endnote w:id="36">
    <w:p w14:paraId="7A5966BC" w14:textId="77777777" w:rsidR="00DD222E" w:rsidRDefault="00DD222E" w:rsidP="00A3485B">
      <w:pPr>
        <w:pStyle w:val="EndnoteText"/>
      </w:pPr>
      <w:r>
        <w:rPr>
          <w:rStyle w:val="EndnoteReference"/>
        </w:rPr>
        <w:endnoteRef/>
      </w:r>
      <w:r>
        <w:t xml:space="preserve"> QPC</w:t>
      </w:r>
      <w:r w:rsidRPr="00AB6FEA">
        <w:t xml:space="preserve">, </w:t>
      </w:r>
      <w:r w:rsidRPr="002741A8">
        <w:rPr>
          <w:i/>
        </w:rPr>
        <w:t>Inquiry into The NDIS Market in Queensland</w:t>
      </w:r>
      <w:r>
        <w:t xml:space="preserve"> </w:t>
      </w:r>
      <w:r w:rsidRPr="002741A8">
        <w:rPr>
          <w:i/>
        </w:rPr>
        <w:t xml:space="preserve">Final </w:t>
      </w:r>
      <w:r w:rsidRPr="00C309F7">
        <w:t>Report</w:t>
      </w:r>
      <w:r>
        <w:t>, pp.380-1</w:t>
      </w:r>
    </w:p>
  </w:endnote>
  <w:endnote w:id="37">
    <w:p w14:paraId="52C73FBE" w14:textId="77777777" w:rsidR="00DD222E" w:rsidRDefault="00DD222E" w:rsidP="00A3485B">
      <w:pPr>
        <w:pStyle w:val="EndnoteText"/>
      </w:pPr>
      <w:r>
        <w:rPr>
          <w:rStyle w:val="EndnoteReference"/>
        </w:rPr>
        <w:endnoteRef/>
      </w:r>
      <w:r>
        <w:t xml:space="preserve"> QPC</w:t>
      </w:r>
      <w:r w:rsidRPr="00AB6FEA">
        <w:t xml:space="preserve">, </w:t>
      </w:r>
      <w:r w:rsidRPr="002741A8">
        <w:rPr>
          <w:i/>
        </w:rPr>
        <w:t>Inquiry into The NDIS Market in Queensland</w:t>
      </w:r>
      <w:r>
        <w:t xml:space="preserve"> </w:t>
      </w:r>
      <w:r w:rsidRPr="002741A8">
        <w:rPr>
          <w:i/>
        </w:rPr>
        <w:t xml:space="preserve">Final </w:t>
      </w:r>
      <w:r w:rsidRPr="00C309F7">
        <w:t>Report</w:t>
      </w:r>
      <w:r>
        <w:t>, pp.383-6</w:t>
      </w:r>
    </w:p>
  </w:endnote>
  <w:endnote w:id="38">
    <w:p w14:paraId="40E54932" w14:textId="77777777" w:rsidR="00DD222E" w:rsidRPr="0030027F" w:rsidRDefault="00DD222E" w:rsidP="00A3485B">
      <w:pPr>
        <w:pStyle w:val="EndnoteText"/>
      </w:pPr>
      <w:r>
        <w:rPr>
          <w:rStyle w:val="EndnoteReference"/>
        </w:rPr>
        <w:endnoteRef/>
      </w:r>
      <w:r>
        <w:t xml:space="preserve">National Aboriginal Community Controlled Health Organisation (NACCHO), </w:t>
      </w:r>
      <w:r w:rsidRPr="0030027F">
        <w:rPr>
          <w:i/>
        </w:rPr>
        <w:t>Submission to the NDIS Annual Price Review 2021-22</w:t>
      </w:r>
      <w:r>
        <w:t xml:space="preserve">, NACCHO website, accessed 11 January 2023, </w:t>
      </w:r>
      <w:hyperlink r:id="rId17" w:history="1">
        <w:r>
          <w:rPr>
            <w:rStyle w:val="Hyperlink"/>
            <w:rFonts w:asciiTheme="minorHAnsi" w:hAnsiTheme="minorHAnsi"/>
            <w:sz w:val="20"/>
          </w:rPr>
          <w:t>www.naccho.org.au/app/uploads/2022/04/NACCHO-NDIS-Pricing-Review-2021-22-.pdf</w:t>
        </w:r>
      </w:hyperlink>
      <w:r>
        <w:t>, pp.6-7</w:t>
      </w:r>
    </w:p>
  </w:endnote>
  <w:endnote w:id="39">
    <w:p w14:paraId="3735CF97" w14:textId="77777777" w:rsidR="00DD222E" w:rsidRPr="0030027F" w:rsidRDefault="00DD222E" w:rsidP="00A3485B">
      <w:pPr>
        <w:pStyle w:val="EndnoteText"/>
        <w:rPr>
          <w:u w:val="single"/>
        </w:rPr>
      </w:pPr>
      <w:r>
        <w:rPr>
          <w:rStyle w:val="EndnoteReference"/>
        </w:rPr>
        <w:endnoteRef/>
      </w:r>
      <w:r>
        <w:t xml:space="preserve"> </w:t>
      </w:r>
      <w:r w:rsidRPr="0030027F">
        <w:t>Australian Institute of Health and Welfare (AIHW)</w:t>
      </w:r>
      <w:r w:rsidRPr="002E6D08">
        <w:rPr>
          <w:i/>
        </w:rPr>
        <w:t>, Indigenous health and wellbeing</w:t>
      </w:r>
      <w:r w:rsidRPr="0030027F">
        <w:t>,</w:t>
      </w:r>
      <w:r>
        <w:t xml:space="preserve"> July 2022, AIHW website,</w:t>
      </w:r>
      <w:r w:rsidRPr="0030027F">
        <w:t xml:space="preserve"> </w:t>
      </w:r>
      <w:r>
        <w:t>accessed</w:t>
      </w:r>
      <w:r w:rsidRPr="0030027F">
        <w:t xml:space="preserve"> 6 January 2023, </w:t>
      </w:r>
      <w:hyperlink r:id="rId18" w:history="1">
        <w:r w:rsidRPr="0030027F">
          <w:rPr>
            <w:rStyle w:val="Hyperlink"/>
            <w:rFonts w:asciiTheme="minorHAnsi" w:hAnsiTheme="minorHAnsi"/>
            <w:sz w:val="20"/>
          </w:rPr>
          <w:t>www.aihw.gov.au/reports/australias-health/indigenous-health-and-wellbeing</w:t>
        </w:r>
      </w:hyperlink>
    </w:p>
  </w:endnote>
  <w:endnote w:id="40">
    <w:p w14:paraId="2669B830" w14:textId="77777777" w:rsidR="00DD222E" w:rsidRPr="00C309F7" w:rsidRDefault="00DD222E" w:rsidP="00A3485B">
      <w:pPr>
        <w:pStyle w:val="EndnoteText"/>
      </w:pPr>
      <w:r>
        <w:rPr>
          <w:rStyle w:val="EndnoteReference"/>
        </w:rPr>
        <w:endnoteRef/>
      </w:r>
      <w:r>
        <w:t xml:space="preserve"> </w:t>
      </w:r>
      <w:r w:rsidRPr="0030027F">
        <w:t xml:space="preserve">AIHW, </w:t>
      </w:r>
      <w:r w:rsidRPr="002E6D08">
        <w:rPr>
          <w:i/>
        </w:rPr>
        <w:t>Rural and remote health</w:t>
      </w:r>
      <w:r w:rsidRPr="0030027F">
        <w:t xml:space="preserve">, </w:t>
      </w:r>
      <w:r>
        <w:t xml:space="preserve">July 2022, AIHW website, </w:t>
      </w:r>
      <w:r w:rsidRPr="0030027F">
        <w:t xml:space="preserve">viewed 5 January 2023, </w:t>
      </w:r>
      <w:hyperlink r:id="rId19" w:history="1">
        <w:r w:rsidRPr="0030027F">
          <w:rPr>
            <w:rStyle w:val="Hyperlink"/>
            <w:rFonts w:asciiTheme="minorHAnsi" w:hAnsiTheme="minorHAnsi"/>
            <w:sz w:val="20"/>
          </w:rPr>
          <w:t>www.aihw.gov.au/reports/rural-remote-australians/rural-and-remote-health</w:t>
        </w:r>
      </w:hyperlink>
      <w:r>
        <w:t xml:space="preserve"> </w:t>
      </w:r>
      <w:r>
        <w:br/>
      </w:r>
      <w:r w:rsidRPr="00285D50">
        <w:t>Australian Bureau of Statistics (ABS)</w:t>
      </w:r>
      <w:r>
        <w:t xml:space="preserve">, </w:t>
      </w:r>
      <w:hyperlink r:id="rId20" w:history="1">
        <w:r w:rsidRPr="00C309F7">
          <w:rPr>
            <w:rStyle w:val="Hyperlink"/>
            <w:rFonts w:asciiTheme="minorHAnsi" w:hAnsiTheme="minorHAnsi"/>
            <w:i/>
            <w:sz w:val="20"/>
          </w:rPr>
          <w:t>Region summary: Far North</w:t>
        </w:r>
      </w:hyperlink>
      <w:r>
        <w:t xml:space="preserve">, ABS website, 2021, accessed 6 January 2023; ABS, </w:t>
      </w:r>
      <w:hyperlink r:id="rId21" w:history="1">
        <w:r w:rsidRPr="00C309F7">
          <w:rPr>
            <w:rStyle w:val="Hyperlink"/>
            <w:rFonts w:asciiTheme="minorHAnsi" w:hAnsiTheme="minorHAnsi"/>
            <w:i/>
            <w:sz w:val="20"/>
          </w:rPr>
          <w:t>Region summary: Cook</w:t>
        </w:r>
      </w:hyperlink>
      <w:r>
        <w:t xml:space="preserve">, ABS website, 2021, accessed 6 January 2023; ABS, </w:t>
      </w:r>
      <w:hyperlink r:id="rId22" w:history="1">
        <w:r w:rsidRPr="00C309F7">
          <w:rPr>
            <w:rStyle w:val="Hyperlink"/>
            <w:rFonts w:asciiTheme="minorHAnsi" w:hAnsiTheme="minorHAnsi"/>
            <w:i/>
            <w:sz w:val="20"/>
          </w:rPr>
          <w:t>Region summary: Aurukun</w:t>
        </w:r>
      </w:hyperlink>
      <w:r>
        <w:t>, ABS website, 2021, accessed 6 January 2023;</w:t>
      </w:r>
    </w:p>
  </w:endnote>
  <w:endnote w:id="41">
    <w:p w14:paraId="30BA2099" w14:textId="77777777" w:rsidR="00DD222E" w:rsidRDefault="00DD222E" w:rsidP="00804DDC">
      <w:pPr>
        <w:pStyle w:val="EndnoteText"/>
      </w:pPr>
      <w:r>
        <w:rPr>
          <w:rStyle w:val="EndnoteReference"/>
        </w:rPr>
        <w:endnoteRef/>
      </w:r>
      <w:r>
        <w:t xml:space="preserve"> NDIA</w:t>
      </w:r>
      <w:r w:rsidRPr="00285D50">
        <w:t xml:space="preserve">, </w:t>
      </w:r>
      <w:r w:rsidRPr="002E6D08">
        <w:rPr>
          <w:i/>
        </w:rPr>
        <w:t xml:space="preserve">NDIS </w:t>
      </w:r>
      <w:r w:rsidRPr="00285D50">
        <w:rPr>
          <w:i/>
        </w:rPr>
        <w:t>WA Market Review</w:t>
      </w:r>
      <w:r w:rsidRPr="002E6D08">
        <w:rPr>
          <w:i/>
        </w:rPr>
        <w:t xml:space="preserve"> Final Report</w:t>
      </w:r>
      <w:r w:rsidRPr="00285D50">
        <w:t>,</w:t>
      </w:r>
      <w:r>
        <w:t xml:space="preserve"> NDIS website, 1 July</w:t>
      </w:r>
      <w:r w:rsidRPr="00285D50">
        <w:t xml:space="preserve"> 2019</w:t>
      </w:r>
      <w:r>
        <w:t xml:space="preserve">, </w:t>
      </w:r>
      <w:r w:rsidRPr="00285D50">
        <w:t>pp.54-63</w:t>
      </w:r>
    </w:p>
  </w:endnote>
  <w:endnote w:id="42">
    <w:p w14:paraId="6F81531D" w14:textId="77777777" w:rsidR="00DD222E" w:rsidRDefault="00DD222E" w:rsidP="00804DDC">
      <w:pPr>
        <w:pStyle w:val="EndnoteText"/>
      </w:pPr>
      <w:r>
        <w:rPr>
          <w:rStyle w:val="EndnoteReference"/>
        </w:rPr>
        <w:endnoteRef/>
      </w:r>
      <w:r>
        <w:t xml:space="preserve"> </w:t>
      </w:r>
      <w:r w:rsidRPr="00A456ED">
        <w:t xml:space="preserve">NDIA, </w:t>
      </w:r>
      <w:r w:rsidRPr="00A456ED">
        <w:rPr>
          <w:i/>
        </w:rPr>
        <w:t>Annual Pricing Review 2021-22</w:t>
      </w:r>
      <w:r w:rsidRPr="00A456ED">
        <w:t xml:space="preserve"> </w:t>
      </w:r>
      <w:r w:rsidRPr="008F5BEC">
        <w:rPr>
          <w:i/>
        </w:rPr>
        <w:t>Final Report</w:t>
      </w:r>
      <w:r w:rsidRPr="00A456ED">
        <w:t>,</w:t>
      </w:r>
      <w:r>
        <w:t xml:space="preserve"> 22 June 2022, </w:t>
      </w:r>
      <w:r w:rsidRPr="00A456ED">
        <w:t>pp.165-178</w:t>
      </w:r>
    </w:p>
  </w:endnote>
  <w:endnote w:id="43">
    <w:p w14:paraId="4F5E6EF4" w14:textId="77777777" w:rsidR="00DD222E" w:rsidRPr="008F5BEC" w:rsidRDefault="00DD222E" w:rsidP="00804DDC">
      <w:pPr>
        <w:pStyle w:val="EndnoteText"/>
        <w:rPr>
          <w:i/>
        </w:rPr>
      </w:pPr>
      <w:r>
        <w:rPr>
          <w:rStyle w:val="EndnoteReference"/>
        </w:rPr>
        <w:endnoteRef/>
      </w:r>
      <w:r>
        <w:t xml:space="preserve"> </w:t>
      </w:r>
      <w:r w:rsidRPr="008F5BEC">
        <w:t>NDIA,</w:t>
      </w:r>
      <w:r w:rsidRPr="00DF6503">
        <w:rPr>
          <w:i/>
        </w:rPr>
        <w:t xml:space="preserve"> Annual Pricing Review 2021-22 Final Report, </w:t>
      </w:r>
      <w:r>
        <w:t>p</w:t>
      </w:r>
      <w:r w:rsidRPr="008F5BEC">
        <w:t>p.175-176</w:t>
      </w:r>
      <w:r>
        <w:rPr>
          <w:i/>
        </w:rPr>
        <w:t xml:space="preserve">; </w:t>
      </w:r>
      <w:r w:rsidRPr="008F5BEC">
        <w:t>NDIA,</w:t>
      </w:r>
      <w:r>
        <w:t xml:space="preserve"> </w:t>
      </w:r>
      <w:r>
        <w:rPr>
          <w:i/>
        </w:rPr>
        <w:t>December 2022 update</w:t>
      </w:r>
      <w:r w:rsidRPr="008F5BEC">
        <w:t>,</w:t>
      </w:r>
      <w:r>
        <w:t xml:space="preserve"> published, accessed February 2023</w:t>
      </w:r>
    </w:p>
  </w:endnote>
  <w:endnote w:id="44">
    <w:p w14:paraId="27D50648" w14:textId="77777777" w:rsidR="00DD222E" w:rsidRDefault="00DD222E" w:rsidP="00804DDC">
      <w:pPr>
        <w:pStyle w:val="EndnoteText"/>
      </w:pPr>
      <w:r>
        <w:rPr>
          <w:rStyle w:val="EndnoteReference"/>
        </w:rPr>
        <w:endnoteRef/>
      </w:r>
      <w:r>
        <w:t xml:space="preserve"> DSS, </w:t>
      </w:r>
      <w:r w:rsidRPr="00A456ED">
        <w:rPr>
          <w:i/>
        </w:rPr>
        <w:t>Quarterly NDIS market</w:t>
      </w:r>
      <w:r>
        <w:rPr>
          <w:i/>
        </w:rPr>
        <w:t xml:space="preserve"> key</w:t>
      </w:r>
      <w:r w:rsidRPr="00A456ED">
        <w:rPr>
          <w:i/>
        </w:rPr>
        <w:t xml:space="preserve"> performance</w:t>
      </w:r>
      <w:r>
        <w:rPr>
          <w:i/>
        </w:rPr>
        <w:t xml:space="preserve"> indicator report for Q2</w:t>
      </w:r>
      <w:r w:rsidRPr="00A456ED">
        <w:rPr>
          <w:i/>
        </w:rPr>
        <w:t xml:space="preserve"> FY202</w:t>
      </w:r>
      <w:r>
        <w:rPr>
          <w:i/>
        </w:rPr>
        <w:t>2</w:t>
      </w:r>
      <w:r w:rsidRPr="00A456ED">
        <w:rPr>
          <w:i/>
        </w:rPr>
        <w:t>-2</w:t>
      </w:r>
      <w:r>
        <w:rPr>
          <w:i/>
        </w:rPr>
        <w:t>3</w:t>
      </w:r>
      <w:r>
        <w:t>, unpublished, accessed March 2023</w:t>
      </w:r>
    </w:p>
  </w:endnote>
  <w:endnote w:id="45">
    <w:p w14:paraId="325EC376" w14:textId="77777777" w:rsidR="00DD222E" w:rsidRDefault="00DD222E" w:rsidP="00804DDC">
      <w:pPr>
        <w:pStyle w:val="EndnoteText"/>
      </w:pPr>
      <w:r>
        <w:rPr>
          <w:rStyle w:val="EndnoteReference"/>
        </w:rPr>
        <w:endnoteRef/>
      </w:r>
      <w:r>
        <w:t xml:space="preserve"> </w:t>
      </w:r>
      <w:r w:rsidRPr="00A456ED">
        <w:t xml:space="preserve">JSC, </w:t>
      </w:r>
      <w:r w:rsidRPr="00A456ED">
        <w:rPr>
          <w:i/>
        </w:rPr>
        <w:t>General issues around the implementation and performance of the NDIS</w:t>
      </w:r>
      <w:r w:rsidRPr="00A456ED">
        <w:t>, Final Report,</w:t>
      </w:r>
      <w:r>
        <w:t xml:space="preserve"> February 2019,</w:t>
      </w:r>
      <w:r w:rsidRPr="00A456ED">
        <w:t xml:space="preserve"> pp. 43-51</w:t>
      </w:r>
    </w:p>
  </w:endnote>
  <w:endnote w:id="46">
    <w:p w14:paraId="787D4E65" w14:textId="77777777" w:rsidR="00DD222E" w:rsidRPr="009661E3" w:rsidRDefault="00DD222E" w:rsidP="00804DDC">
      <w:pPr>
        <w:pStyle w:val="EndnoteText"/>
      </w:pPr>
      <w:r>
        <w:rPr>
          <w:rStyle w:val="EndnoteReference"/>
        </w:rPr>
        <w:endnoteRef/>
      </w:r>
      <w:r>
        <w:t xml:space="preserve"> </w:t>
      </w:r>
      <w:r w:rsidRPr="004602D0">
        <w:t>DSS</w:t>
      </w:r>
      <w:r>
        <w:t>,</w:t>
      </w:r>
      <w:r w:rsidRPr="004602D0">
        <w:t xml:space="preserve"> </w:t>
      </w:r>
      <w:r w:rsidRPr="002E6D08">
        <w:rPr>
          <w:i/>
        </w:rPr>
        <w:t>Analysis on NDIS monthly datasets</w:t>
      </w:r>
      <w:r>
        <w:t>, unpublished, accessed March 2023</w:t>
      </w:r>
    </w:p>
  </w:endnote>
  <w:endnote w:id="47">
    <w:p w14:paraId="16EEA8A1" w14:textId="77777777" w:rsidR="00DD222E" w:rsidRDefault="00DD222E" w:rsidP="00804DDC">
      <w:pPr>
        <w:pStyle w:val="EndnoteText"/>
      </w:pPr>
      <w:r>
        <w:rPr>
          <w:rStyle w:val="EndnoteReference"/>
        </w:rPr>
        <w:endnoteRef/>
      </w:r>
      <w:r>
        <w:t xml:space="preserve"> NACCHO, </w:t>
      </w:r>
      <w:r w:rsidRPr="0030027F">
        <w:rPr>
          <w:i/>
        </w:rPr>
        <w:t>Submission to the NDIS Annual Price Review 2021-22</w:t>
      </w:r>
      <w:r>
        <w:t xml:space="preserve"> </w:t>
      </w:r>
    </w:p>
  </w:endnote>
  <w:endnote w:id="48">
    <w:p w14:paraId="5CC7D897" w14:textId="77777777" w:rsidR="00DD222E" w:rsidRPr="00A456ED" w:rsidRDefault="00DD222E" w:rsidP="00804DDC">
      <w:pPr>
        <w:pStyle w:val="EndnoteText"/>
      </w:pPr>
      <w:r>
        <w:rPr>
          <w:rStyle w:val="EndnoteReference"/>
        </w:rPr>
        <w:endnoteRef/>
      </w:r>
      <w:r>
        <w:t xml:space="preserve"> DSS, </w:t>
      </w:r>
      <w:r>
        <w:rPr>
          <w:i/>
        </w:rPr>
        <w:t>Thin markets data request for NDIS Review</w:t>
      </w:r>
      <w:r>
        <w:t>, unpublished, accessed March 2023</w:t>
      </w:r>
    </w:p>
  </w:endnote>
  <w:endnote w:id="49">
    <w:p w14:paraId="4C7E4C95" w14:textId="77777777" w:rsidR="00DD222E" w:rsidRDefault="00DD222E" w:rsidP="00151263">
      <w:pPr>
        <w:pStyle w:val="EndnoteText"/>
      </w:pPr>
      <w:r>
        <w:rPr>
          <w:rStyle w:val="EndnoteReference"/>
        </w:rPr>
        <w:endnoteRef/>
      </w:r>
      <w:r>
        <w:t xml:space="preserve"> PC, </w:t>
      </w:r>
      <w:r w:rsidRPr="002741A8">
        <w:rPr>
          <w:i/>
        </w:rPr>
        <w:t>NDIS Costs</w:t>
      </w:r>
      <w:r>
        <w:t xml:space="preserve"> – </w:t>
      </w:r>
      <w:r w:rsidRPr="002741A8">
        <w:rPr>
          <w:i/>
        </w:rPr>
        <w:t>Study Report</w:t>
      </w:r>
      <w:r w:rsidDel="006B6DA7">
        <w:t>, p</w:t>
      </w:r>
      <w:r>
        <w:t>p</w:t>
      </w:r>
      <w:r w:rsidDel="006B6DA7">
        <w:t>. 270</w:t>
      </w:r>
    </w:p>
  </w:endnote>
  <w:endnote w:id="50">
    <w:p w14:paraId="244CC7CC" w14:textId="77777777" w:rsidR="00DD222E" w:rsidRDefault="00DD222E" w:rsidP="00151263">
      <w:pPr>
        <w:pStyle w:val="EndnoteText"/>
      </w:pPr>
      <w:r>
        <w:rPr>
          <w:rStyle w:val="EndnoteReference"/>
        </w:rPr>
        <w:endnoteRef/>
      </w:r>
      <w:r>
        <w:t xml:space="preserve"> R Barker. et al., </w:t>
      </w:r>
      <w:r w:rsidRPr="00A456ED">
        <w:rPr>
          <w:i/>
        </w:rPr>
        <w:t>FNQ Connect: Connecting people connecting care. A proposal for reform of Far North Queensland Disability, Rehabilitation and Lifestyle Services for children</w:t>
      </w:r>
    </w:p>
  </w:endnote>
  <w:endnote w:id="51">
    <w:p w14:paraId="755FDC87" w14:textId="77777777" w:rsidR="00DD222E" w:rsidRDefault="00DD222E" w:rsidP="00151263">
      <w:pPr>
        <w:pStyle w:val="EndnoteText"/>
      </w:pPr>
      <w:r>
        <w:rPr>
          <w:rStyle w:val="EndnoteReference"/>
        </w:rPr>
        <w:endnoteRef/>
      </w:r>
      <w:r>
        <w:t xml:space="preserve"> </w:t>
      </w:r>
      <w:r w:rsidRPr="00DB19D7">
        <w:t>This includes the 16 LGAs in the Far North SA3 (Figure 10), as well as 5 other LGAs: Cairns Regional, Cassowary Coast Regional, Douglas Shire, Tablelands Regional and Yarrabah Aboriginal Shire.</w:t>
      </w:r>
    </w:p>
  </w:endnote>
  <w:endnote w:id="52">
    <w:p w14:paraId="2A0F4A42" w14:textId="77777777" w:rsidR="00DD222E" w:rsidRDefault="00DD222E" w:rsidP="00272813">
      <w:pPr>
        <w:pStyle w:val="EndnoteText"/>
      </w:pPr>
      <w:r>
        <w:rPr>
          <w:rStyle w:val="EndnoteReference"/>
        </w:rPr>
        <w:endnoteRef/>
      </w:r>
      <w:r>
        <w:t xml:space="preserve"> PC, </w:t>
      </w:r>
      <w:r w:rsidRPr="002741A8">
        <w:rPr>
          <w:i/>
        </w:rPr>
        <w:t>NDIS Costs</w:t>
      </w:r>
      <w:r>
        <w:t xml:space="preserve"> – </w:t>
      </w:r>
      <w:r w:rsidRPr="002741A8">
        <w:rPr>
          <w:i/>
        </w:rPr>
        <w:t>Study Report</w:t>
      </w:r>
      <w:r>
        <w:t>, pp.29-30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do">
    <w:altName w:val="Times New Roman"/>
    <w:charset w:val="00"/>
    <w:family w:val="roman"/>
    <w:pitch w:val="variable"/>
    <w:sig w:usb0="E40008FF" w:usb1="5201E0FB" w:usb2="04608000" w:usb3="00000000" w:csb0="000000BB"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AE977" w14:textId="77777777" w:rsidR="002A04B9" w:rsidRDefault="002A04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5797B" w14:textId="5E5B9173" w:rsidR="00DD222E" w:rsidRPr="00BB1526" w:rsidRDefault="00DD222E" w:rsidP="00D001E2">
    <w:pPr>
      <w:pStyle w:val="Header"/>
      <w:rPr>
        <w:rFonts w:ascii="Segoe UI" w:hAnsi="Segoe UI" w:cs="Segoe UI"/>
        <w:color w:val="6E6E6E"/>
        <w:sz w:val="18"/>
      </w:rPr>
    </w:pPr>
    <w:r>
      <w:rPr>
        <w:color w:val="6E6E6E"/>
        <w:sz w:val="18"/>
        <w:szCs w:val="18"/>
      </w:rPr>
      <w:t>NDIS Review</w:t>
    </w:r>
    <w:r w:rsidRPr="00852F35">
      <w:rPr>
        <w:color w:val="6E6E6E"/>
        <w:sz w:val="18"/>
        <w:szCs w:val="18"/>
      </w:rPr>
      <w:t xml:space="preserve"> | </w:t>
    </w:r>
    <w:r>
      <w:rPr>
        <w:color w:val="6E6E6E"/>
        <w:sz w:val="18"/>
        <w:szCs w:val="18"/>
      </w:rPr>
      <w:t xml:space="preserve">Alternative commissioning for remote and </w:t>
    </w:r>
    <w:r w:rsidRPr="00A970CD">
      <w:rPr>
        <w:color w:val="6E6E6E"/>
        <w:sz w:val="18"/>
        <w:szCs w:val="18"/>
      </w:rPr>
      <w:t>First Nations communities</w:t>
    </w:r>
    <w:r w:rsidRPr="00852F35">
      <w:rPr>
        <w:color w:val="6E6E6E"/>
      </w:rPr>
      <w:t xml:space="preserve"> </w:t>
    </w:r>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sidR="00050BFB">
      <w:rPr>
        <w:rFonts w:ascii="Segoe UI" w:hAnsi="Segoe UI" w:cs="Segoe UI"/>
        <w:noProof/>
        <w:color w:val="6E6E6E"/>
        <w:sz w:val="18"/>
      </w:rPr>
      <w:t>30</w:t>
    </w:r>
    <w:r w:rsidRPr="00852F35">
      <w:rPr>
        <w:rFonts w:ascii="Segoe UI" w:hAnsi="Segoe UI" w:cs="Segoe UI"/>
        <w:noProof/>
        <w:color w:val="6E6E6E"/>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AE72A" w14:textId="77777777" w:rsidR="002A04B9" w:rsidRDefault="002A0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0980C" w14:textId="0223C102" w:rsidR="00DD222E" w:rsidRPr="00BF7FD4" w:rsidRDefault="00DD222E" w:rsidP="00A970CD">
    <w:pPr>
      <w:pStyle w:val="Header"/>
      <w:rPr>
        <w:color w:val="6E6E6E"/>
        <w:sz w:val="18"/>
        <w:szCs w:val="18"/>
      </w:rPr>
    </w:pPr>
    <w:r>
      <w:rPr>
        <w:color w:val="6E6E6E"/>
        <w:sz w:val="18"/>
        <w:szCs w:val="18"/>
      </w:rPr>
      <w:t>NDIS Review</w:t>
    </w:r>
    <w:r w:rsidRPr="00852F35">
      <w:rPr>
        <w:color w:val="6E6E6E"/>
        <w:sz w:val="18"/>
        <w:szCs w:val="18"/>
      </w:rPr>
      <w:t xml:space="preserve"> | </w:t>
    </w:r>
    <w:r>
      <w:rPr>
        <w:color w:val="6E6E6E"/>
        <w:sz w:val="18"/>
        <w:szCs w:val="18"/>
      </w:rPr>
      <w:t xml:space="preserve">Alternative commissioning for remote and </w:t>
    </w:r>
    <w:r w:rsidRPr="00A970CD">
      <w:rPr>
        <w:color w:val="6E6E6E"/>
        <w:sz w:val="18"/>
        <w:szCs w:val="18"/>
      </w:rPr>
      <w:t>First Nations communities</w:t>
    </w:r>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sidR="00050BFB">
      <w:rPr>
        <w:rFonts w:ascii="Segoe UI" w:hAnsi="Segoe UI" w:cs="Segoe UI"/>
        <w:noProof/>
        <w:color w:val="6E6E6E"/>
        <w:sz w:val="18"/>
      </w:rPr>
      <w:t>i</w:t>
    </w:r>
    <w:r w:rsidRPr="00852F35">
      <w:rPr>
        <w:rFonts w:ascii="Segoe UI" w:hAnsi="Segoe UI" w:cs="Segoe UI"/>
        <w:noProof/>
        <w:color w:val="6E6E6E"/>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02619" w14:textId="77777777" w:rsidR="00B61FED" w:rsidRDefault="00B61FED" w:rsidP="00F957C6">
      <w:pPr>
        <w:spacing w:after="0" w:line="240" w:lineRule="auto"/>
      </w:pPr>
      <w:r>
        <w:separator/>
      </w:r>
    </w:p>
  </w:footnote>
  <w:footnote w:type="continuationSeparator" w:id="0">
    <w:p w14:paraId="186E9DAF" w14:textId="77777777" w:rsidR="00B61FED" w:rsidRDefault="00B61FED" w:rsidP="00F957C6">
      <w:pPr>
        <w:spacing w:after="0" w:line="240" w:lineRule="auto"/>
      </w:pPr>
      <w:r>
        <w:continuationSeparator/>
      </w:r>
    </w:p>
  </w:footnote>
  <w:footnote w:type="continuationNotice" w:id="1">
    <w:p w14:paraId="3F072595" w14:textId="77777777" w:rsidR="00B61FED" w:rsidRDefault="00B61F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4189E" w14:textId="77777777" w:rsidR="002A04B9" w:rsidRDefault="002A0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49146" w14:textId="77777777" w:rsidR="002A04B9" w:rsidRDefault="002A0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717A1" w14:textId="77777777" w:rsidR="00DD222E" w:rsidRDefault="00DD222E" w:rsidP="00496735">
    <w:pPr>
      <w:pStyle w:val="Header"/>
      <w:tabs>
        <w:tab w:val="clear" w:pos="4513"/>
        <w:tab w:val="clear" w:pos="9026"/>
      </w:tabs>
      <w:ind w:left="-284"/>
    </w:pPr>
    <w:r>
      <w:rPr>
        <w:noProof/>
        <w:lang w:eastAsia="en-AU"/>
      </w:rPr>
      <w:drawing>
        <wp:anchor distT="0" distB="0" distL="114300" distR="114300" simplePos="0" relativeHeight="251658240" behindDoc="1" locked="1" layoutInCell="1" allowOverlap="1" wp14:anchorId="56B8F6F3" wp14:editId="10E6B3E1">
          <wp:simplePos x="0" y="0"/>
          <wp:positionH relativeFrom="margin">
            <wp:posOffset>-180975</wp:posOffset>
          </wp:positionH>
          <wp:positionV relativeFrom="page">
            <wp:align>center</wp:align>
          </wp:positionV>
          <wp:extent cx="6482080" cy="9719945"/>
          <wp:effectExtent l="0" t="0" r="0" b="0"/>
          <wp:wrapNone/>
          <wp:docPr id="4" name="Picture 4"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tern-word-bg.jpg"/>
                  <pic:cNvPicPr/>
                </pic:nvPicPr>
                <pic:blipFill>
                  <a:blip r:embed="rId1">
                    <a:extLst>
                      <a:ext uri="{28A0092B-C50C-407E-A947-70E740481C1C}">
                        <a14:useLocalDpi xmlns:a14="http://schemas.microsoft.com/office/drawing/2010/main" val="0"/>
                      </a:ext>
                    </a:extLst>
                  </a:blip>
                  <a:stretch>
                    <a:fillRect/>
                  </a:stretch>
                </pic:blipFill>
                <pic:spPr>
                  <a:xfrm>
                    <a:off x="0" y="0"/>
                    <a:ext cx="6482080" cy="971994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7123E" w14:textId="77777777" w:rsidR="00DD222E" w:rsidRDefault="00DD22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6180F" w14:textId="77777777" w:rsidR="00DD222E" w:rsidRDefault="00DD222E" w:rsidP="008E39BB">
    <w:pPr>
      <w:pStyle w:val="Header"/>
      <w:rPr>
        <w:rStyle w:val="CLASSIFICATIONChar"/>
      </w:rPr>
    </w:pPr>
  </w:p>
  <w:p w14:paraId="1165E66C" w14:textId="77777777" w:rsidR="00DD222E" w:rsidRDefault="00DD222E" w:rsidP="00303C55">
    <w:pPr>
      <w:pStyle w:val="Header"/>
      <w:jc w:val="center"/>
      <w:rPr>
        <w:rStyle w:val="CLASSIFICATIONChar"/>
      </w:rPr>
    </w:pPr>
  </w:p>
  <w:p w14:paraId="0D457117" w14:textId="77777777" w:rsidR="00DD222E" w:rsidRDefault="00DD222E" w:rsidP="00303C55">
    <w:pPr>
      <w:pStyle w:val="Header"/>
      <w:jc w:val="center"/>
      <w:rPr>
        <w:rStyle w:val="CLASSIFICATIONChar"/>
      </w:rPr>
    </w:pPr>
  </w:p>
  <w:p w14:paraId="3C102725" w14:textId="77777777" w:rsidR="00DD222E" w:rsidRDefault="00DD222E" w:rsidP="00303C55">
    <w:pPr>
      <w:pStyle w:val="Header"/>
      <w:jc w:val="center"/>
      <w:rPr>
        <w:rStyle w:val="CLASSIFICATIONChar"/>
      </w:rPr>
    </w:pPr>
  </w:p>
  <w:p w14:paraId="52BA7B3A" w14:textId="77777777" w:rsidR="00DD222E" w:rsidRDefault="00050BFB" w:rsidP="00303C55">
    <w:pPr>
      <w:pStyle w:val="Header"/>
      <w:jc w:val="center"/>
    </w:pPr>
    <w:sdt>
      <w:sdtPr>
        <w:rPr>
          <w:rStyle w:val="CLASSIFICATIONChar"/>
        </w:rPr>
        <w:alias w:val="Classification"/>
        <w:tag w:val="Classification"/>
        <w:id w:val="-1971886583"/>
        <w:placeholder>
          <w:docPart w:val="E5B29DB5BC88418B9E41863B212F3896"/>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4"/>
        </w:rPr>
      </w:sdtEndPr>
      <w:sdtContent>
        <w:r w:rsidR="00DD222E">
          <w:rPr>
            <w:rStyle w:val="CLASSIFICATIONChar"/>
          </w:rPr>
          <w:t>Classification</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2C222" w14:textId="77777777" w:rsidR="00DD222E" w:rsidRDefault="00DD22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279C8"/>
    <w:multiLevelType w:val="hybridMultilevel"/>
    <w:tmpl w:val="9A0653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CD53DB"/>
    <w:multiLevelType w:val="hybridMultilevel"/>
    <w:tmpl w:val="AADA01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FA1DE1"/>
    <w:multiLevelType w:val="hybridMultilevel"/>
    <w:tmpl w:val="AADA01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014CCD"/>
    <w:multiLevelType w:val="hybridMultilevel"/>
    <w:tmpl w:val="B24A3252"/>
    <w:lvl w:ilvl="0" w:tplc="87C40FF0">
      <w:start w:val="1"/>
      <w:numFmt w:val="bullet"/>
      <w:pStyle w:val="B1-Listbullets"/>
      <w:lvlText w:val="•"/>
      <w:lvlJc w:val="left"/>
      <w:pPr>
        <w:ind w:left="587" w:hanging="360"/>
      </w:pPr>
      <w:rPr>
        <w:rFonts w:ascii="Arial" w:hAnsi="Aria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AF6F03"/>
    <w:multiLevelType w:val="hybridMultilevel"/>
    <w:tmpl w:val="4CF49542"/>
    <w:lvl w:ilvl="0" w:tplc="6C069990">
      <w:start w:val="1"/>
      <w:numFmt w:val="bullet"/>
      <w:pStyle w:val="Listbullets-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3A3105B"/>
    <w:multiLevelType w:val="hybridMultilevel"/>
    <w:tmpl w:val="2F88CC68"/>
    <w:lvl w:ilvl="0" w:tplc="93300146">
      <w:start w:val="1"/>
      <w:numFmt w:val="decimal"/>
      <w:pStyle w:val="B2-Listnumbers"/>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7" w15:restartNumberingAfterBreak="0">
    <w:nsid w:val="19F33BBA"/>
    <w:multiLevelType w:val="hybridMultilevel"/>
    <w:tmpl w:val="84B0F132"/>
    <w:lvl w:ilvl="0" w:tplc="A8C65C80">
      <w:start w:val="1"/>
      <w:numFmt w:val="decimal"/>
      <w:pStyle w:val="Figure"/>
      <w:suff w:val="space"/>
      <w:lvlText w:val="Figure %1."/>
      <w:lvlJc w:val="left"/>
      <w:pPr>
        <w:ind w:left="127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507AC4"/>
    <w:multiLevelType w:val="hybridMultilevel"/>
    <w:tmpl w:val="D0A01DAA"/>
    <w:lvl w:ilvl="0" w:tplc="89E456B8">
      <w:start w:val="1"/>
      <w:numFmt w:val="bullet"/>
      <w:pStyle w:val="Listbullets-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27854A54"/>
    <w:multiLevelType w:val="hybridMultilevel"/>
    <w:tmpl w:val="B6F6A20C"/>
    <w:lvl w:ilvl="0" w:tplc="36CA3F34">
      <w:start w:val="1"/>
      <w:numFmt w:val="bullet"/>
      <w:pStyle w:val="Listbullets-Level1"/>
      <w:lvlText w:val=""/>
      <w:lvlJc w:val="left"/>
      <w:pPr>
        <w:ind w:left="425" w:hanging="283"/>
      </w:pPr>
      <w:rPr>
        <w:rFonts w:ascii="Symbol" w:hAnsi="Symbol" w:hint="default"/>
        <w:color w:val="auto"/>
        <w:sz w:val="24"/>
        <w:szCs w:val="24"/>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0" w15:restartNumberingAfterBreak="0">
    <w:nsid w:val="29C94853"/>
    <w:multiLevelType w:val="hybridMultilevel"/>
    <w:tmpl w:val="AB4E5802"/>
    <w:lvl w:ilvl="0" w:tplc="81306D4A">
      <w:start w:val="16"/>
      <w:numFmt w:val="bullet"/>
      <w:lvlText w:val="-"/>
      <w:lvlJc w:val="left"/>
      <w:pPr>
        <w:ind w:left="587" w:hanging="360"/>
      </w:pPr>
      <w:rPr>
        <w:rFonts w:ascii="Segoe UI" w:eastAsia="Segoe U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FB3706"/>
    <w:multiLevelType w:val="hybridMultilevel"/>
    <w:tmpl w:val="5212E728"/>
    <w:lvl w:ilvl="0" w:tplc="81306D4A">
      <w:start w:val="16"/>
      <w:numFmt w:val="bullet"/>
      <w:lvlText w:val="-"/>
      <w:lvlJc w:val="left"/>
      <w:pPr>
        <w:ind w:left="587" w:hanging="360"/>
      </w:pPr>
      <w:rPr>
        <w:rFonts w:ascii="Segoe UI" w:eastAsia="Segoe UI" w:hAnsi="Segoe UI" w:cs="Segoe U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 w15:restartNumberingAfterBreak="0">
    <w:nsid w:val="496C7FF6"/>
    <w:multiLevelType w:val="hybridMultilevel"/>
    <w:tmpl w:val="18DAD052"/>
    <w:lvl w:ilvl="0" w:tplc="67E2A198">
      <w:start w:val="1"/>
      <w:numFmt w:val="decimal"/>
      <w:pStyle w:val="B1-listnumbers"/>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13"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81170D5"/>
    <w:multiLevelType w:val="hybridMultilevel"/>
    <w:tmpl w:val="F5B4A042"/>
    <w:lvl w:ilvl="0" w:tplc="740ED0C4">
      <w:start w:val="1"/>
      <w:numFmt w:val="decimal"/>
      <w:pStyle w:val="Listnumbers-Level1"/>
      <w:lvlText w:val="%1."/>
      <w:lvlJc w:val="left"/>
      <w:pPr>
        <w:ind w:left="567" w:hanging="283"/>
      </w:pPr>
      <w:rPr>
        <w:rFonts w:hint="default"/>
      </w:rPr>
    </w:lvl>
    <w:lvl w:ilvl="1" w:tplc="1FAA0FEC">
      <w:start w:val="1"/>
      <w:numFmt w:val="lowerLetter"/>
      <w:pStyle w:val="Listnumbers-level2"/>
      <w:lvlText w:val="%2."/>
      <w:lvlJc w:val="left"/>
      <w:pPr>
        <w:ind w:left="851" w:hanging="284"/>
      </w:pPr>
      <w:rPr>
        <w:rFonts w:hint="default"/>
      </w:rPr>
    </w:lvl>
    <w:lvl w:ilvl="2" w:tplc="65FAA32A">
      <w:start w:val="1"/>
      <w:numFmt w:val="lowerRoman"/>
      <w:pStyle w:val="Listnumbers-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num>
  <w:num w:numId="3">
    <w:abstractNumId w:val="13"/>
  </w:num>
  <w:num w:numId="4">
    <w:abstractNumId w:val="9"/>
  </w:num>
  <w:num w:numId="5">
    <w:abstractNumId w:val="14"/>
  </w:num>
  <w:num w:numId="6">
    <w:abstractNumId w:val="7"/>
  </w:num>
  <w:num w:numId="7">
    <w:abstractNumId w:val="12"/>
  </w:num>
  <w:num w:numId="8">
    <w:abstractNumId w:val="6"/>
  </w:num>
  <w:num w:numId="9">
    <w:abstractNumId w:val="8"/>
  </w:num>
  <w:num w:numId="10">
    <w:abstractNumId w:val="5"/>
  </w:num>
  <w:num w:numId="11">
    <w:abstractNumId w:val="2"/>
  </w:num>
  <w:num w:numId="12">
    <w:abstractNumId w:val="1"/>
  </w:num>
  <w:num w:numId="13">
    <w:abstractNumId w:val="0"/>
  </w:num>
  <w:num w:numId="14">
    <w:abstractNumId w:val="11"/>
  </w:num>
  <w:num w:numId="15">
    <w:abstractNumId w:val="14"/>
    <w:lvlOverride w:ilvl="0">
      <w:startOverride w:val="1"/>
    </w:lvlOverride>
  </w:num>
  <w:num w:numId="16">
    <w:abstractNumId w:val="4"/>
  </w:num>
  <w:num w:numId="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isplayBackgroundShape/>
  <w:activeWritingStyle w:appName="MSWord" w:lang="en-US" w:vendorID="64" w:dllVersion="131078" w:nlCheck="1" w:checkStyle="1"/>
  <w:activeWritingStyle w:appName="MSWord" w:lang="en-AU" w:vendorID="64" w:dllVersion="131078" w:nlCheck="1" w:checkStyle="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EE2C502-2276-416E-8E2D-620EBE0B149D}"/>
    <w:docVar w:name="dgnword-eventsink" w:val="937096144"/>
  </w:docVars>
  <w:rsids>
    <w:rsidRoot w:val="00673900"/>
    <w:rsid w:val="0000043B"/>
    <w:rsid w:val="0000065A"/>
    <w:rsid w:val="000015E9"/>
    <w:rsid w:val="00001BA0"/>
    <w:rsid w:val="00001CD8"/>
    <w:rsid w:val="0000201F"/>
    <w:rsid w:val="0000271F"/>
    <w:rsid w:val="00006217"/>
    <w:rsid w:val="00007611"/>
    <w:rsid w:val="00007709"/>
    <w:rsid w:val="00010836"/>
    <w:rsid w:val="00010D71"/>
    <w:rsid w:val="00011649"/>
    <w:rsid w:val="00012A6F"/>
    <w:rsid w:val="000136A2"/>
    <w:rsid w:val="000140A7"/>
    <w:rsid w:val="00014194"/>
    <w:rsid w:val="00014615"/>
    <w:rsid w:val="00014F8C"/>
    <w:rsid w:val="00015588"/>
    <w:rsid w:val="000156BB"/>
    <w:rsid w:val="00016112"/>
    <w:rsid w:val="00017900"/>
    <w:rsid w:val="0002013D"/>
    <w:rsid w:val="00024587"/>
    <w:rsid w:val="0002466F"/>
    <w:rsid w:val="00025115"/>
    <w:rsid w:val="00025961"/>
    <w:rsid w:val="00025FBA"/>
    <w:rsid w:val="00027038"/>
    <w:rsid w:val="00027325"/>
    <w:rsid w:val="00027CAD"/>
    <w:rsid w:val="00030A3D"/>
    <w:rsid w:val="00030B72"/>
    <w:rsid w:val="0003109C"/>
    <w:rsid w:val="000313BD"/>
    <w:rsid w:val="0003154E"/>
    <w:rsid w:val="00031974"/>
    <w:rsid w:val="00033257"/>
    <w:rsid w:val="00033305"/>
    <w:rsid w:val="00033D57"/>
    <w:rsid w:val="00033EEB"/>
    <w:rsid w:val="00034FAD"/>
    <w:rsid w:val="0003674A"/>
    <w:rsid w:val="00036C37"/>
    <w:rsid w:val="00037513"/>
    <w:rsid w:val="00040654"/>
    <w:rsid w:val="00040D49"/>
    <w:rsid w:val="00041153"/>
    <w:rsid w:val="0004133F"/>
    <w:rsid w:val="000419B0"/>
    <w:rsid w:val="00041E6D"/>
    <w:rsid w:val="000448FC"/>
    <w:rsid w:val="00044FD3"/>
    <w:rsid w:val="000474EB"/>
    <w:rsid w:val="00047678"/>
    <w:rsid w:val="00050BFB"/>
    <w:rsid w:val="00050E01"/>
    <w:rsid w:val="000540ED"/>
    <w:rsid w:val="00055589"/>
    <w:rsid w:val="0005634B"/>
    <w:rsid w:val="00056365"/>
    <w:rsid w:val="00056479"/>
    <w:rsid w:val="00061E6F"/>
    <w:rsid w:val="00062BFE"/>
    <w:rsid w:val="0006340F"/>
    <w:rsid w:val="00063569"/>
    <w:rsid w:val="0006426A"/>
    <w:rsid w:val="00064B2D"/>
    <w:rsid w:val="00065F73"/>
    <w:rsid w:val="00065FC7"/>
    <w:rsid w:val="0006627F"/>
    <w:rsid w:val="000670E8"/>
    <w:rsid w:val="0007126E"/>
    <w:rsid w:val="000713C9"/>
    <w:rsid w:val="0007180B"/>
    <w:rsid w:val="000720D3"/>
    <w:rsid w:val="000722F5"/>
    <w:rsid w:val="000734DD"/>
    <w:rsid w:val="00075486"/>
    <w:rsid w:val="0007683E"/>
    <w:rsid w:val="00076B43"/>
    <w:rsid w:val="00077646"/>
    <w:rsid w:val="00077994"/>
    <w:rsid w:val="00080454"/>
    <w:rsid w:val="000826B3"/>
    <w:rsid w:val="0008360A"/>
    <w:rsid w:val="000839B2"/>
    <w:rsid w:val="00085781"/>
    <w:rsid w:val="00086764"/>
    <w:rsid w:val="00086DBF"/>
    <w:rsid w:val="00087939"/>
    <w:rsid w:val="00090163"/>
    <w:rsid w:val="00090F06"/>
    <w:rsid w:val="00091A5B"/>
    <w:rsid w:val="00092094"/>
    <w:rsid w:val="0009250B"/>
    <w:rsid w:val="000931C0"/>
    <w:rsid w:val="000934ED"/>
    <w:rsid w:val="00094B6B"/>
    <w:rsid w:val="000956AB"/>
    <w:rsid w:val="0009622C"/>
    <w:rsid w:val="00096698"/>
    <w:rsid w:val="000968D8"/>
    <w:rsid w:val="0009734D"/>
    <w:rsid w:val="000976FB"/>
    <w:rsid w:val="000A064A"/>
    <w:rsid w:val="000A094E"/>
    <w:rsid w:val="000A127C"/>
    <w:rsid w:val="000A146D"/>
    <w:rsid w:val="000A23BB"/>
    <w:rsid w:val="000A270D"/>
    <w:rsid w:val="000A346E"/>
    <w:rsid w:val="000A3FB1"/>
    <w:rsid w:val="000A633A"/>
    <w:rsid w:val="000A6ED5"/>
    <w:rsid w:val="000A7207"/>
    <w:rsid w:val="000B2E5D"/>
    <w:rsid w:val="000B3034"/>
    <w:rsid w:val="000B3417"/>
    <w:rsid w:val="000B4B86"/>
    <w:rsid w:val="000B4E1F"/>
    <w:rsid w:val="000B59CE"/>
    <w:rsid w:val="000B5E42"/>
    <w:rsid w:val="000B6486"/>
    <w:rsid w:val="000B6A28"/>
    <w:rsid w:val="000B7E98"/>
    <w:rsid w:val="000C0203"/>
    <w:rsid w:val="000C1FB6"/>
    <w:rsid w:val="000C202C"/>
    <w:rsid w:val="000C36A2"/>
    <w:rsid w:val="000C3B8E"/>
    <w:rsid w:val="000C3E21"/>
    <w:rsid w:val="000C4EE9"/>
    <w:rsid w:val="000C5640"/>
    <w:rsid w:val="000C7E85"/>
    <w:rsid w:val="000D0941"/>
    <w:rsid w:val="000D0A61"/>
    <w:rsid w:val="000D5ECD"/>
    <w:rsid w:val="000D5F08"/>
    <w:rsid w:val="000D6417"/>
    <w:rsid w:val="000D749D"/>
    <w:rsid w:val="000E11C1"/>
    <w:rsid w:val="000E143D"/>
    <w:rsid w:val="000E1DBD"/>
    <w:rsid w:val="000E3A13"/>
    <w:rsid w:val="000E47B8"/>
    <w:rsid w:val="000E5385"/>
    <w:rsid w:val="000E6A98"/>
    <w:rsid w:val="000E6DFF"/>
    <w:rsid w:val="000E71FC"/>
    <w:rsid w:val="000E7DBA"/>
    <w:rsid w:val="000F1BE7"/>
    <w:rsid w:val="000F1E36"/>
    <w:rsid w:val="000F3577"/>
    <w:rsid w:val="000F3657"/>
    <w:rsid w:val="000F42FD"/>
    <w:rsid w:val="000F5770"/>
    <w:rsid w:val="000F5AE3"/>
    <w:rsid w:val="000F7051"/>
    <w:rsid w:val="000F7AE0"/>
    <w:rsid w:val="000F7CEA"/>
    <w:rsid w:val="00101EB1"/>
    <w:rsid w:val="00102565"/>
    <w:rsid w:val="0010407B"/>
    <w:rsid w:val="0010415B"/>
    <w:rsid w:val="001041E2"/>
    <w:rsid w:val="0010490D"/>
    <w:rsid w:val="00105530"/>
    <w:rsid w:val="00106B19"/>
    <w:rsid w:val="00106DC3"/>
    <w:rsid w:val="00107DAC"/>
    <w:rsid w:val="001102B3"/>
    <w:rsid w:val="0011077A"/>
    <w:rsid w:val="001108AD"/>
    <w:rsid w:val="00110DB2"/>
    <w:rsid w:val="00111C8E"/>
    <w:rsid w:val="00112FAA"/>
    <w:rsid w:val="00113616"/>
    <w:rsid w:val="00113AF4"/>
    <w:rsid w:val="00114BD5"/>
    <w:rsid w:val="00115264"/>
    <w:rsid w:val="00116015"/>
    <w:rsid w:val="00117A77"/>
    <w:rsid w:val="00117EE3"/>
    <w:rsid w:val="001203B6"/>
    <w:rsid w:val="001204B2"/>
    <w:rsid w:val="001215D8"/>
    <w:rsid w:val="00121A6A"/>
    <w:rsid w:val="00122087"/>
    <w:rsid w:val="00123378"/>
    <w:rsid w:val="00123402"/>
    <w:rsid w:val="0012400A"/>
    <w:rsid w:val="00124918"/>
    <w:rsid w:val="00124E52"/>
    <w:rsid w:val="001253AF"/>
    <w:rsid w:val="001254A5"/>
    <w:rsid w:val="0012614F"/>
    <w:rsid w:val="00127157"/>
    <w:rsid w:val="00127E15"/>
    <w:rsid w:val="00130CE2"/>
    <w:rsid w:val="00131212"/>
    <w:rsid w:val="00133591"/>
    <w:rsid w:val="00133F78"/>
    <w:rsid w:val="001349BD"/>
    <w:rsid w:val="001353E4"/>
    <w:rsid w:val="00136182"/>
    <w:rsid w:val="001366C1"/>
    <w:rsid w:val="0013799B"/>
    <w:rsid w:val="00137CC0"/>
    <w:rsid w:val="00140ECD"/>
    <w:rsid w:val="001415EF"/>
    <w:rsid w:val="00141C89"/>
    <w:rsid w:val="00141DEC"/>
    <w:rsid w:val="00141F9A"/>
    <w:rsid w:val="00142334"/>
    <w:rsid w:val="001431F7"/>
    <w:rsid w:val="00143840"/>
    <w:rsid w:val="00143FA1"/>
    <w:rsid w:val="00144920"/>
    <w:rsid w:val="001451D0"/>
    <w:rsid w:val="00145458"/>
    <w:rsid w:val="00145BED"/>
    <w:rsid w:val="0014656A"/>
    <w:rsid w:val="00146965"/>
    <w:rsid w:val="00151263"/>
    <w:rsid w:val="00151315"/>
    <w:rsid w:val="0015232E"/>
    <w:rsid w:val="00153FDD"/>
    <w:rsid w:val="00154794"/>
    <w:rsid w:val="001558AF"/>
    <w:rsid w:val="001569C5"/>
    <w:rsid w:val="001569EE"/>
    <w:rsid w:val="00156A86"/>
    <w:rsid w:val="00157204"/>
    <w:rsid w:val="0015744F"/>
    <w:rsid w:val="00160376"/>
    <w:rsid w:val="0016055E"/>
    <w:rsid w:val="001611BF"/>
    <w:rsid w:val="001642B4"/>
    <w:rsid w:val="001642C7"/>
    <w:rsid w:val="001652AC"/>
    <w:rsid w:val="0016621E"/>
    <w:rsid w:val="00166238"/>
    <w:rsid w:val="00166679"/>
    <w:rsid w:val="00166B2B"/>
    <w:rsid w:val="0016736B"/>
    <w:rsid w:val="001674ED"/>
    <w:rsid w:val="001678DF"/>
    <w:rsid w:val="00167A52"/>
    <w:rsid w:val="001705FC"/>
    <w:rsid w:val="00170D07"/>
    <w:rsid w:val="00170E13"/>
    <w:rsid w:val="001711FC"/>
    <w:rsid w:val="0017225F"/>
    <w:rsid w:val="00172A22"/>
    <w:rsid w:val="0017393F"/>
    <w:rsid w:val="00173B25"/>
    <w:rsid w:val="0017408E"/>
    <w:rsid w:val="0017436A"/>
    <w:rsid w:val="00174A3E"/>
    <w:rsid w:val="00174D54"/>
    <w:rsid w:val="00177B3A"/>
    <w:rsid w:val="00182D86"/>
    <w:rsid w:val="00183FD5"/>
    <w:rsid w:val="00185286"/>
    <w:rsid w:val="00186DBC"/>
    <w:rsid w:val="00187C73"/>
    <w:rsid w:val="001917CA"/>
    <w:rsid w:val="0019246D"/>
    <w:rsid w:val="00192BE5"/>
    <w:rsid w:val="00192F55"/>
    <w:rsid w:val="00193364"/>
    <w:rsid w:val="00193DCD"/>
    <w:rsid w:val="00194237"/>
    <w:rsid w:val="001954B4"/>
    <w:rsid w:val="001954D4"/>
    <w:rsid w:val="00195B01"/>
    <w:rsid w:val="00196773"/>
    <w:rsid w:val="00196F05"/>
    <w:rsid w:val="00196FA4"/>
    <w:rsid w:val="0019760C"/>
    <w:rsid w:val="00197E27"/>
    <w:rsid w:val="00197E9B"/>
    <w:rsid w:val="001A056F"/>
    <w:rsid w:val="001A0AB4"/>
    <w:rsid w:val="001A27EE"/>
    <w:rsid w:val="001A3D1E"/>
    <w:rsid w:val="001A3FFD"/>
    <w:rsid w:val="001A469E"/>
    <w:rsid w:val="001A4BEE"/>
    <w:rsid w:val="001A4EF2"/>
    <w:rsid w:val="001A554A"/>
    <w:rsid w:val="001A57BA"/>
    <w:rsid w:val="001B0A16"/>
    <w:rsid w:val="001B0F0B"/>
    <w:rsid w:val="001B12F9"/>
    <w:rsid w:val="001B1E18"/>
    <w:rsid w:val="001B2D56"/>
    <w:rsid w:val="001B6E93"/>
    <w:rsid w:val="001B720D"/>
    <w:rsid w:val="001B7382"/>
    <w:rsid w:val="001B77BD"/>
    <w:rsid w:val="001C18B4"/>
    <w:rsid w:val="001C4AD2"/>
    <w:rsid w:val="001C4EC4"/>
    <w:rsid w:val="001C55CA"/>
    <w:rsid w:val="001C63B8"/>
    <w:rsid w:val="001C7702"/>
    <w:rsid w:val="001C7A92"/>
    <w:rsid w:val="001D1D25"/>
    <w:rsid w:val="001D2134"/>
    <w:rsid w:val="001D295C"/>
    <w:rsid w:val="001D3013"/>
    <w:rsid w:val="001D40F1"/>
    <w:rsid w:val="001D4EB9"/>
    <w:rsid w:val="001D5B70"/>
    <w:rsid w:val="001D60FE"/>
    <w:rsid w:val="001D6CCB"/>
    <w:rsid w:val="001D73FE"/>
    <w:rsid w:val="001DAE34"/>
    <w:rsid w:val="001E0276"/>
    <w:rsid w:val="001E184C"/>
    <w:rsid w:val="001E2901"/>
    <w:rsid w:val="001E3128"/>
    <w:rsid w:val="001E3BAA"/>
    <w:rsid w:val="001E4ED7"/>
    <w:rsid w:val="001E5083"/>
    <w:rsid w:val="001E649F"/>
    <w:rsid w:val="001E75BD"/>
    <w:rsid w:val="001E7E54"/>
    <w:rsid w:val="001F0AA6"/>
    <w:rsid w:val="001F135B"/>
    <w:rsid w:val="001F2D16"/>
    <w:rsid w:val="001F3A78"/>
    <w:rsid w:val="001F3D82"/>
    <w:rsid w:val="001F445A"/>
    <w:rsid w:val="001F44A1"/>
    <w:rsid w:val="001F490E"/>
    <w:rsid w:val="001F5111"/>
    <w:rsid w:val="001F57A4"/>
    <w:rsid w:val="001F5BA0"/>
    <w:rsid w:val="001F6D86"/>
    <w:rsid w:val="00200CC2"/>
    <w:rsid w:val="0020101F"/>
    <w:rsid w:val="00201062"/>
    <w:rsid w:val="00201CD9"/>
    <w:rsid w:val="00201FAF"/>
    <w:rsid w:val="00203487"/>
    <w:rsid w:val="00204164"/>
    <w:rsid w:val="0020457D"/>
    <w:rsid w:val="00204EB8"/>
    <w:rsid w:val="0020536E"/>
    <w:rsid w:val="00205F19"/>
    <w:rsid w:val="0020660F"/>
    <w:rsid w:val="00206934"/>
    <w:rsid w:val="00207B54"/>
    <w:rsid w:val="002105CD"/>
    <w:rsid w:val="0021125E"/>
    <w:rsid w:val="00212443"/>
    <w:rsid w:val="00212627"/>
    <w:rsid w:val="00212F6B"/>
    <w:rsid w:val="002132E3"/>
    <w:rsid w:val="00213BEC"/>
    <w:rsid w:val="002148AC"/>
    <w:rsid w:val="002150FD"/>
    <w:rsid w:val="002162FE"/>
    <w:rsid w:val="00217351"/>
    <w:rsid w:val="002177D6"/>
    <w:rsid w:val="002208AD"/>
    <w:rsid w:val="00220DDA"/>
    <w:rsid w:val="0022304E"/>
    <w:rsid w:val="00223837"/>
    <w:rsid w:val="00225C60"/>
    <w:rsid w:val="002266AE"/>
    <w:rsid w:val="0022700D"/>
    <w:rsid w:val="00227DB5"/>
    <w:rsid w:val="00233563"/>
    <w:rsid w:val="00233F46"/>
    <w:rsid w:val="0023560B"/>
    <w:rsid w:val="0023707B"/>
    <w:rsid w:val="00237D26"/>
    <w:rsid w:val="0024266D"/>
    <w:rsid w:val="00242C6D"/>
    <w:rsid w:val="00242D5A"/>
    <w:rsid w:val="00244193"/>
    <w:rsid w:val="002444A8"/>
    <w:rsid w:val="002446F0"/>
    <w:rsid w:val="002449D6"/>
    <w:rsid w:val="0024606B"/>
    <w:rsid w:val="002466A3"/>
    <w:rsid w:val="0024766A"/>
    <w:rsid w:val="002476F2"/>
    <w:rsid w:val="00247893"/>
    <w:rsid w:val="00247CB8"/>
    <w:rsid w:val="00251C35"/>
    <w:rsid w:val="00252E11"/>
    <w:rsid w:val="00252F57"/>
    <w:rsid w:val="0025314B"/>
    <w:rsid w:val="00253660"/>
    <w:rsid w:val="00254190"/>
    <w:rsid w:val="002563CB"/>
    <w:rsid w:val="00257224"/>
    <w:rsid w:val="00261045"/>
    <w:rsid w:val="0026241E"/>
    <w:rsid w:val="00262617"/>
    <w:rsid w:val="00262B4E"/>
    <w:rsid w:val="002656C6"/>
    <w:rsid w:val="00265BE0"/>
    <w:rsid w:val="00266557"/>
    <w:rsid w:val="0026699E"/>
    <w:rsid w:val="00266CCC"/>
    <w:rsid w:val="00270BA8"/>
    <w:rsid w:val="00270CA6"/>
    <w:rsid w:val="002713D8"/>
    <w:rsid w:val="00271896"/>
    <w:rsid w:val="0027261F"/>
    <w:rsid w:val="00272813"/>
    <w:rsid w:val="00272B58"/>
    <w:rsid w:val="00273113"/>
    <w:rsid w:val="002733A2"/>
    <w:rsid w:val="00273501"/>
    <w:rsid w:val="00274D42"/>
    <w:rsid w:val="00275012"/>
    <w:rsid w:val="00276327"/>
    <w:rsid w:val="00280802"/>
    <w:rsid w:val="0028088E"/>
    <w:rsid w:val="00281106"/>
    <w:rsid w:val="002815CD"/>
    <w:rsid w:val="00282A12"/>
    <w:rsid w:val="00283FEE"/>
    <w:rsid w:val="00284374"/>
    <w:rsid w:val="002850DD"/>
    <w:rsid w:val="00285C80"/>
    <w:rsid w:val="00285CAF"/>
    <w:rsid w:val="00287476"/>
    <w:rsid w:val="00287527"/>
    <w:rsid w:val="002877C5"/>
    <w:rsid w:val="00291E7F"/>
    <w:rsid w:val="002924B2"/>
    <w:rsid w:val="00292E2F"/>
    <w:rsid w:val="00294841"/>
    <w:rsid w:val="002962B1"/>
    <w:rsid w:val="002964B0"/>
    <w:rsid w:val="00297F75"/>
    <w:rsid w:val="002A04B9"/>
    <w:rsid w:val="002A0BCD"/>
    <w:rsid w:val="002A0C9C"/>
    <w:rsid w:val="002A0E7F"/>
    <w:rsid w:val="002A14D8"/>
    <w:rsid w:val="002A1B86"/>
    <w:rsid w:val="002A32D4"/>
    <w:rsid w:val="002A3417"/>
    <w:rsid w:val="002A4C75"/>
    <w:rsid w:val="002A5833"/>
    <w:rsid w:val="002A593D"/>
    <w:rsid w:val="002A6298"/>
    <w:rsid w:val="002A6A8C"/>
    <w:rsid w:val="002B0CC7"/>
    <w:rsid w:val="002B1CC8"/>
    <w:rsid w:val="002B3B63"/>
    <w:rsid w:val="002B3BCA"/>
    <w:rsid w:val="002B4C82"/>
    <w:rsid w:val="002B59AA"/>
    <w:rsid w:val="002B6556"/>
    <w:rsid w:val="002B661A"/>
    <w:rsid w:val="002B699A"/>
    <w:rsid w:val="002B73D7"/>
    <w:rsid w:val="002C023F"/>
    <w:rsid w:val="002C0AD2"/>
    <w:rsid w:val="002C237F"/>
    <w:rsid w:val="002C278F"/>
    <w:rsid w:val="002C2DC6"/>
    <w:rsid w:val="002C33A4"/>
    <w:rsid w:val="002C365A"/>
    <w:rsid w:val="002C3B14"/>
    <w:rsid w:val="002C6338"/>
    <w:rsid w:val="002C6C8D"/>
    <w:rsid w:val="002C6D36"/>
    <w:rsid w:val="002C7878"/>
    <w:rsid w:val="002C790C"/>
    <w:rsid w:val="002C7A05"/>
    <w:rsid w:val="002D0127"/>
    <w:rsid w:val="002D26D4"/>
    <w:rsid w:val="002D2819"/>
    <w:rsid w:val="002D2E6C"/>
    <w:rsid w:val="002D34B6"/>
    <w:rsid w:val="002D388E"/>
    <w:rsid w:val="002D4985"/>
    <w:rsid w:val="002D6B3D"/>
    <w:rsid w:val="002D6BE9"/>
    <w:rsid w:val="002D7998"/>
    <w:rsid w:val="002E0BAF"/>
    <w:rsid w:val="002E110A"/>
    <w:rsid w:val="002E2F40"/>
    <w:rsid w:val="002E3A3B"/>
    <w:rsid w:val="002E3CAE"/>
    <w:rsid w:val="002E5916"/>
    <w:rsid w:val="002E6865"/>
    <w:rsid w:val="002E6A33"/>
    <w:rsid w:val="002E7A3B"/>
    <w:rsid w:val="002F13BD"/>
    <w:rsid w:val="002F14F4"/>
    <w:rsid w:val="002F29FF"/>
    <w:rsid w:val="002F2F1D"/>
    <w:rsid w:val="002F3372"/>
    <w:rsid w:val="002F4215"/>
    <w:rsid w:val="002F4A1E"/>
    <w:rsid w:val="002F4AF4"/>
    <w:rsid w:val="002F6C38"/>
    <w:rsid w:val="002F7748"/>
    <w:rsid w:val="002F7E8C"/>
    <w:rsid w:val="003012B4"/>
    <w:rsid w:val="0030258D"/>
    <w:rsid w:val="00302FF5"/>
    <w:rsid w:val="003039B0"/>
    <w:rsid w:val="00303C55"/>
    <w:rsid w:val="00304015"/>
    <w:rsid w:val="00304173"/>
    <w:rsid w:val="00306DFC"/>
    <w:rsid w:val="003071CF"/>
    <w:rsid w:val="00311774"/>
    <w:rsid w:val="00311C2D"/>
    <w:rsid w:val="00312ED7"/>
    <w:rsid w:val="00313F81"/>
    <w:rsid w:val="0031401C"/>
    <w:rsid w:val="00314FCD"/>
    <w:rsid w:val="00315AD9"/>
    <w:rsid w:val="00316255"/>
    <w:rsid w:val="00317030"/>
    <w:rsid w:val="00317716"/>
    <w:rsid w:val="00317828"/>
    <w:rsid w:val="00322A21"/>
    <w:rsid w:val="0033194F"/>
    <w:rsid w:val="00332273"/>
    <w:rsid w:val="00332CC0"/>
    <w:rsid w:val="003330F5"/>
    <w:rsid w:val="0033568A"/>
    <w:rsid w:val="003359F5"/>
    <w:rsid w:val="00335E6C"/>
    <w:rsid w:val="00336217"/>
    <w:rsid w:val="0033683C"/>
    <w:rsid w:val="003406D6"/>
    <w:rsid w:val="0034098F"/>
    <w:rsid w:val="00340A33"/>
    <w:rsid w:val="003416F9"/>
    <w:rsid w:val="003417FD"/>
    <w:rsid w:val="00341BA0"/>
    <w:rsid w:val="0034259F"/>
    <w:rsid w:val="003428FD"/>
    <w:rsid w:val="00343960"/>
    <w:rsid w:val="003441FF"/>
    <w:rsid w:val="003444CF"/>
    <w:rsid w:val="003446B9"/>
    <w:rsid w:val="00344BA9"/>
    <w:rsid w:val="00346663"/>
    <w:rsid w:val="00347FAB"/>
    <w:rsid w:val="00350E6D"/>
    <w:rsid w:val="003510AD"/>
    <w:rsid w:val="003513A9"/>
    <w:rsid w:val="00353CC5"/>
    <w:rsid w:val="00353E5E"/>
    <w:rsid w:val="0035491D"/>
    <w:rsid w:val="00356862"/>
    <w:rsid w:val="0035789B"/>
    <w:rsid w:val="00361020"/>
    <w:rsid w:val="00362ADF"/>
    <w:rsid w:val="003636CC"/>
    <w:rsid w:val="00363DBD"/>
    <w:rsid w:val="00364B53"/>
    <w:rsid w:val="003662E8"/>
    <w:rsid w:val="003705EE"/>
    <w:rsid w:val="00371413"/>
    <w:rsid w:val="00371708"/>
    <w:rsid w:val="00371B88"/>
    <w:rsid w:val="00374D2A"/>
    <w:rsid w:val="00374F56"/>
    <w:rsid w:val="00375CDA"/>
    <w:rsid w:val="00376B98"/>
    <w:rsid w:val="00376FE6"/>
    <w:rsid w:val="00380695"/>
    <w:rsid w:val="00381092"/>
    <w:rsid w:val="00381318"/>
    <w:rsid w:val="003815B9"/>
    <w:rsid w:val="00381A12"/>
    <w:rsid w:val="00381B64"/>
    <w:rsid w:val="00382103"/>
    <w:rsid w:val="00382689"/>
    <w:rsid w:val="00384EEA"/>
    <w:rsid w:val="00385679"/>
    <w:rsid w:val="00385BD5"/>
    <w:rsid w:val="00385CBB"/>
    <w:rsid w:val="00385DBA"/>
    <w:rsid w:val="00390765"/>
    <w:rsid w:val="003928FF"/>
    <w:rsid w:val="00394FA0"/>
    <w:rsid w:val="0039545A"/>
    <w:rsid w:val="00395771"/>
    <w:rsid w:val="00396487"/>
    <w:rsid w:val="003971D6"/>
    <w:rsid w:val="0039726A"/>
    <w:rsid w:val="003A00D3"/>
    <w:rsid w:val="003A0664"/>
    <w:rsid w:val="003A0C2C"/>
    <w:rsid w:val="003A0CF3"/>
    <w:rsid w:val="003A14B9"/>
    <w:rsid w:val="003A1EA5"/>
    <w:rsid w:val="003A25E5"/>
    <w:rsid w:val="003A360F"/>
    <w:rsid w:val="003A453F"/>
    <w:rsid w:val="003A4578"/>
    <w:rsid w:val="003A457E"/>
    <w:rsid w:val="003A4802"/>
    <w:rsid w:val="003A4816"/>
    <w:rsid w:val="003A4A4B"/>
    <w:rsid w:val="003A7A48"/>
    <w:rsid w:val="003B12E9"/>
    <w:rsid w:val="003B19FF"/>
    <w:rsid w:val="003B1BAC"/>
    <w:rsid w:val="003B1D51"/>
    <w:rsid w:val="003B213D"/>
    <w:rsid w:val="003B2E8B"/>
    <w:rsid w:val="003B2F49"/>
    <w:rsid w:val="003B3B0E"/>
    <w:rsid w:val="003B3C5F"/>
    <w:rsid w:val="003B3C90"/>
    <w:rsid w:val="003B5A37"/>
    <w:rsid w:val="003B67F5"/>
    <w:rsid w:val="003C07C2"/>
    <w:rsid w:val="003C0A3F"/>
    <w:rsid w:val="003C13E8"/>
    <w:rsid w:val="003C181D"/>
    <w:rsid w:val="003C19F1"/>
    <w:rsid w:val="003C2947"/>
    <w:rsid w:val="003C3E0E"/>
    <w:rsid w:val="003C45E2"/>
    <w:rsid w:val="003C4A16"/>
    <w:rsid w:val="003C66B2"/>
    <w:rsid w:val="003D00E4"/>
    <w:rsid w:val="003D01C9"/>
    <w:rsid w:val="003D045B"/>
    <w:rsid w:val="003D058E"/>
    <w:rsid w:val="003D0C4C"/>
    <w:rsid w:val="003D16FE"/>
    <w:rsid w:val="003D1722"/>
    <w:rsid w:val="003D1F1A"/>
    <w:rsid w:val="003D2920"/>
    <w:rsid w:val="003D32A6"/>
    <w:rsid w:val="003D3394"/>
    <w:rsid w:val="003D35A7"/>
    <w:rsid w:val="003D4875"/>
    <w:rsid w:val="003D676D"/>
    <w:rsid w:val="003D6BAD"/>
    <w:rsid w:val="003D733F"/>
    <w:rsid w:val="003D79D4"/>
    <w:rsid w:val="003E0B5B"/>
    <w:rsid w:val="003E26B2"/>
    <w:rsid w:val="003E36EF"/>
    <w:rsid w:val="003E41E5"/>
    <w:rsid w:val="003E485A"/>
    <w:rsid w:val="003E5659"/>
    <w:rsid w:val="003E56F5"/>
    <w:rsid w:val="003E5E68"/>
    <w:rsid w:val="003E6A10"/>
    <w:rsid w:val="003E7D97"/>
    <w:rsid w:val="003F23E9"/>
    <w:rsid w:val="003F3474"/>
    <w:rsid w:val="003F394B"/>
    <w:rsid w:val="003F4019"/>
    <w:rsid w:val="003F411F"/>
    <w:rsid w:val="00400E43"/>
    <w:rsid w:val="00401175"/>
    <w:rsid w:val="00401EDD"/>
    <w:rsid w:val="004033A7"/>
    <w:rsid w:val="00404066"/>
    <w:rsid w:val="00405D3B"/>
    <w:rsid w:val="0040601E"/>
    <w:rsid w:val="00407CF5"/>
    <w:rsid w:val="00410455"/>
    <w:rsid w:val="00410632"/>
    <w:rsid w:val="00410A02"/>
    <w:rsid w:val="0041160F"/>
    <w:rsid w:val="004119AA"/>
    <w:rsid w:val="00412473"/>
    <w:rsid w:val="00412F58"/>
    <w:rsid w:val="00413742"/>
    <w:rsid w:val="00414D65"/>
    <w:rsid w:val="004156E1"/>
    <w:rsid w:val="0041581B"/>
    <w:rsid w:val="004204EB"/>
    <w:rsid w:val="00420D50"/>
    <w:rsid w:val="004211CB"/>
    <w:rsid w:val="0042161D"/>
    <w:rsid w:val="00423474"/>
    <w:rsid w:val="00423ECB"/>
    <w:rsid w:val="00426C47"/>
    <w:rsid w:val="0042734E"/>
    <w:rsid w:val="00430B96"/>
    <w:rsid w:val="004310B8"/>
    <w:rsid w:val="004315A5"/>
    <w:rsid w:val="00431778"/>
    <w:rsid w:val="00432102"/>
    <w:rsid w:val="00432BD9"/>
    <w:rsid w:val="00432F53"/>
    <w:rsid w:val="0043332E"/>
    <w:rsid w:val="00434532"/>
    <w:rsid w:val="00434642"/>
    <w:rsid w:val="004351D7"/>
    <w:rsid w:val="00435AEE"/>
    <w:rsid w:val="00437A2A"/>
    <w:rsid w:val="00441025"/>
    <w:rsid w:val="00441336"/>
    <w:rsid w:val="00443AE1"/>
    <w:rsid w:val="00443F97"/>
    <w:rsid w:val="0044430D"/>
    <w:rsid w:val="00445153"/>
    <w:rsid w:val="0044747C"/>
    <w:rsid w:val="00447727"/>
    <w:rsid w:val="00450890"/>
    <w:rsid w:val="0045503C"/>
    <w:rsid w:val="00455AA3"/>
    <w:rsid w:val="004561F1"/>
    <w:rsid w:val="004573DC"/>
    <w:rsid w:val="00460ED9"/>
    <w:rsid w:val="00461654"/>
    <w:rsid w:val="0046197F"/>
    <w:rsid w:val="004624FC"/>
    <w:rsid w:val="00464109"/>
    <w:rsid w:val="00464D89"/>
    <w:rsid w:val="004658FE"/>
    <w:rsid w:val="00465DC0"/>
    <w:rsid w:val="00466ED6"/>
    <w:rsid w:val="0046789F"/>
    <w:rsid w:val="00471373"/>
    <w:rsid w:val="00471CCC"/>
    <w:rsid w:val="00472455"/>
    <w:rsid w:val="0047281F"/>
    <w:rsid w:val="00473320"/>
    <w:rsid w:val="004754CC"/>
    <w:rsid w:val="00475A0E"/>
    <w:rsid w:val="00475FBB"/>
    <w:rsid w:val="004760DD"/>
    <w:rsid w:val="00476970"/>
    <w:rsid w:val="00477235"/>
    <w:rsid w:val="004802CC"/>
    <w:rsid w:val="004809D6"/>
    <w:rsid w:val="00481E54"/>
    <w:rsid w:val="004820D3"/>
    <w:rsid w:val="004827B3"/>
    <w:rsid w:val="0048287F"/>
    <w:rsid w:val="004830FF"/>
    <w:rsid w:val="0048344F"/>
    <w:rsid w:val="0048379C"/>
    <w:rsid w:val="00483B7E"/>
    <w:rsid w:val="00483D85"/>
    <w:rsid w:val="004844AF"/>
    <w:rsid w:val="00484D5A"/>
    <w:rsid w:val="0048512A"/>
    <w:rsid w:val="00485B18"/>
    <w:rsid w:val="00486149"/>
    <w:rsid w:val="004865D9"/>
    <w:rsid w:val="004876E1"/>
    <w:rsid w:val="00490578"/>
    <w:rsid w:val="00490959"/>
    <w:rsid w:val="00490B90"/>
    <w:rsid w:val="00490D7B"/>
    <w:rsid w:val="00491208"/>
    <w:rsid w:val="004914DA"/>
    <w:rsid w:val="00491C01"/>
    <w:rsid w:val="00491EC4"/>
    <w:rsid w:val="00492661"/>
    <w:rsid w:val="004934EE"/>
    <w:rsid w:val="00493B93"/>
    <w:rsid w:val="00493D8A"/>
    <w:rsid w:val="004940BD"/>
    <w:rsid w:val="0049421C"/>
    <w:rsid w:val="004946C0"/>
    <w:rsid w:val="004965AB"/>
    <w:rsid w:val="00496735"/>
    <w:rsid w:val="00497001"/>
    <w:rsid w:val="00497ACE"/>
    <w:rsid w:val="004A0635"/>
    <w:rsid w:val="004A0AC0"/>
    <w:rsid w:val="004A13A6"/>
    <w:rsid w:val="004A1DFD"/>
    <w:rsid w:val="004A3F9D"/>
    <w:rsid w:val="004A4347"/>
    <w:rsid w:val="004A5002"/>
    <w:rsid w:val="004A5042"/>
    <w:rsid w:val="004A528A"/>
    <w:rsid w:val="004A562E"/>
    <w:rsid w:val="004A5B8A"/>
    <w:rsid w:val="004A6491"/>
    <w:rsid w:val="004A6694"/>
    <w:rsid w:val="004A6DA6"/>
    <w:rsid w:val="004A794E"/>
    <w:rsid w:val="004B0586"/>
    <w:rsid w:val="004B0A44"/>
    <w:rsid w:val="004B108E"/>
    <w:rsid w:val="004B1445"/>
    <w:rsid w:val="004B20DB"/>
    <w:rsid w:val="004B2C90"/>
    <w:rsid w:val="004B37BD"/>
    <w:rsid w:val="004B3CB0"/>
    <w:rsid w:val="004B482F"/>
    <w:rsid w:val="004B58D8"/>
    <w:rsid w:val="004B5A5A"/>
    <w:rsid w:val="004B70C4"/>
    <w:rsid w:val="004B77C3"/>
    <w:rsid w:val="004C00B1"/>
    <w:rsid w:val="004C0B49"/>
    <w:rsid w:val="004C17DE"/>
    <w:rsid w:val="004C1C97"/>
    <w:rsid w:val="004C2A36"/>
    <w:rsid w:val="004C392A"/>
    <w:rsid w:val="004C3E61"/>
    <w:rsid w:val="004C4BA9"/>
    <w:rsid w:val="004C4FEE"/>
    <w:rsid w:val="004C518C"/>
    <w:rsid w:val="004C595C"/>
    <w:rsid w:val="004C62F4"/>
    <w:rsid w:val="004C64DA"/>
    <w:rsid w:val="004C719B"/>
    <w:rsid w:val="004C72A8"/>
    <w:rsid w:val="004D0AB2"/>
    <w:rsid w:val="004D0DA6"/>
    <w:rsid w:val="004D32DD"/>
    <w:rsid w:val="004D3AAB"/>
    <w:rsid w:val="004D3DBF"/>
    <w:rsid w:val="004D619D"/>
    <w:rsid w:val="004D69BA"/>
    <w:rsid w:val="004D78A8"/>
    <w:rsid w:val="004E046B"/>
    <w:rsid w:val="004E15B1"/>
    <w:rsid w:val="004E1F16"/>
    <w:rsid w:val="004E239E"/>
    <w:rsid w:val="004E3711"/>
    <w:rsid w:val="004E4C22"/>
    <w:rsid w:val="004E5054"/>
    <w:rsid w:val="004E599D"/>
    <w:rsid w:val="004E59EB"/>
    <w:rsid w:val="004F0DF4"/>
    <w:rsid w:val="004F18BC"/>
    <w:rsid w:val="004F1D06"/>
    <w:rsid w:val="004F2972"/>
    <w:rsid w:val="004F30C6"/>
    <w:rsid w:val="004F3D1B"/>
    <w:rsid w:val="004F419D"/>
    <w:rsid w:val="004F4C4F"/>
    <w:rsid w:val="004F51F8"/>
    <w:rsid w:val="004F53A9"/>
    <w:rsid w:val="004F56CA"/>
    <w:rsid w:val="004F5D92"/>
    <w:rsid w:val="00501805"/>
    <w:rsid w:val="00501C4F"/>
    <w:rsid w:val="00502113"/>
    <w:rsid w:val="00505752"/>
    <w:rsid w:val="0050584D"/>
    <w:rsid w:val="00507D31"/>
    <w:rsid w:val="00507F35"/>
    <w:rsid w:val="00512443"/>
    <w:rsid w:val="005129BE"/>
    <w:rsid w:val="005129E7"/>
    <w:rsid w:val="00512A0F"/>
    <w:rsid w:val="005138D7"/>
    <w:rsid w:val="00514645"/>
    <w:rsid w:val="005159F5"/>
    <w:rsid w:val="00520009"/>
    <w:rsid w:val="005213C2"/>
    <w:rsid w:val="00521DF1"/>
    <w:rsid w:val="005226B9"/>
    <w:rsid w:val="00522CE0"/>
    <w:rsid w:val="00522E2E"/>
    <w:rsid w:val="0052333F"/>
    <w:rsid w:val="00525B6E"/>
    <w:rsid w:val="005262DC"/>
    <w:rsid w:val="0052635B"/>
    <w:rsid w:val="005269A7"/>
    <w:rsid w:val="005271E5"/>
    <w:rsid w:val="00527F43"/>
    <w:rsid w:val="00530D17"/>
    <w:rsid w:val="00530DF2"/>
    <w:rsid w:val="0053111F"/>
    <w:rsid w:val="00532364"/>
    <w:rsid w:val="0053259F"/>
    <w:rsid w:val="005332E2"/>
    <w:rsid w:val="00533423"/>
    <w:rsid w:val="005336AE"/>
    <w:rsid w:val="005356C2"/>
    <w:rsid w:val="005356CF"/>
    <w:rsid w:val="0053614A"/>
    <w:rsid w:val="00540537"/>
    <w:rsid w:val="005429CE"/>
    <w:rsid w:val="00543058"/>
    <w:rsid w:val="005430DF"/>
    <w:rsid w:val="0054382A"/>
    <w:rsid w:val="005448B8"/>
    <w:rsid w:val="00546192"/>
    <w:rsid w:val="0054686A"/>
    <w:rsid w:val="005468A2"/>
    <w:rsid w:val="00547718"/>
    <w:rsid w:val="00547F9D"/>
    <w:rsid w:val="00550084"/>
    <w:rsid w:val="00550B65"/>
    <w:rsid w:val="005524E0"/>
    <w:rsid w:val="00553E2C"/>
    <w:rsid w:val="00555459"/>
    <w:rsid w:val="005555FD"/>
    <w:rsid w:val="00555C9C"/>
    <w:rsid w:val="00561FB9"/>
    <w:rsid w:val="00562428"/>
    <w:rsid w:val="00563614"/>
    <w:rsid w:val="005637FF"/>
    <w:rsid w:val="00563CA1"/>
    <w:rsid w:val="00564311"/>
    <w:rsid w:val="00564B9A"/>
    <w:rsid w:val="00564F8F"/>
    <w:rsid w:val="0056602B"/>
    <w:rsid w:val="00566320"/>
    <w:rsid w:val="00571C28"/>
    <w:rsid w:val="00572126"/>
    <w:rsid w:val="005728D9"/>
    <w:rsid w:val="0057321D"/>
    <w:rsid w:val="0057332C"/>
    <w:rsid w:val="00574A34"/>
    <w:rsid w:val="00575711"/>
    <w:rsid w:val="00575BE7"/>
    <w:rsid w:val="00575C09"/>
    <w:rsid w:val="00575E3D"/>
    <w:rsid w:val="00576700"/>
    <w:rsid w:val="0057729D"/>
    <w:rsid w:val="00580F65"/>
    <w:rsid w:val="00580FFC"/>
    <w:rsid w:val="005816A6"/>
    <w:rsid w:val="005817E9"/>
    <w:rsid w:val="00585C8F"/>
    <w:rsid w:val="00586754"/>
    <w:rsid w:val="0058675E"/>
    <w:rsid w:val="0058742C"/>
    <w:rsid w:val="00587967"/>
    <w:rsid w:val="00587EB5"/>
    <w:rsid w:val="005905BA"/>
    <w:rsid w:val="00591288"/>
    <w:rsid w:val="005917FD"/>
    <w:rsid w:val="00592FBF"/>
    <w:rsid w:val="005939DF"/>
    <w:rsid w:val="0059431F"/>
    <w:rsid w:val="00594B0D"/>
    <w:rsid w:val="005965BF"/>
    <w:rsid w:val="0059682E"/>
    <w:rsid w:val="00596C6B"/>
    <w:rsid w:val="00596E62"/>
    <w:rsid w:val="00596EEE"/>
    <w:rsid w:val="00597555"/>
    <w:rsid w:val="005A0DDA"/>
    <w:rsid w:val="005A1482"/>
    <w:rsid w:val="005A1B42"/>
    <w:rsid w:val="005A25FA"/>
    <w:rsid w:val="005A3A3E"/>
    <w:rsid w:val="005A4960"/>
    <w:rsid w:val="005A4AA1"/>
    <w:rsid w:val="005A4B46"/>
    <w:rsid w:val="005A7011"/>
    <w:rsid w:val="005A75A2"/>
    <w:rsid w:val="005A7B90"/>
    <w:rsid w:val="005B0AC5"/>
    <w:rsid w:val="005B1405"/>
    <w:rsid w:val="005B1AF0"/>
    <w:rsid w:val="005B1BA1"/>
    <w:rsid w:val="005B2283"/>
    <w:rsid w:val="005B26B4"/>
    <w:rsid w:val="005B2CEA"/>
    <w:rsid w:val="005B2F5B"/>
    <w:rsid w:val="005B3121"/>
    <w:rsid w:val="005B3358"/>
    <w:rsid w:val="005B40B0"/>
    <w:rsid w:val="005B4742"/>
    <w:rsid w:val="005B4B7F"/>
    <w:rsid w:val="005B58E9"/>
    <w:rsid w:val="005B696D"/>
    <w:rsid w:val="005B7126"/>
    <w:rsid w:val="005B7698"/>
    <w:rsid w:val="005B79AA"/>
    <w:rsid w:val="005C0F15"/>
    <w:rsid w:val="005C2EB2"/>
    <w:rsid w:val="005C322A"/>
    <w:rsid w:val="005C3C13"/>
    <w:rsid w:val="005C4AC2"/>
    <w:rsid w:val="005C62F1"/>
    <w:rsid w:val="005C7180"/>
    <w:rsid w:val="005D0300"/>
    <w:rsid w:val="005D039D"/>
    <w:rsid w:val="005D1300"/>
    <w:rsid w:val="005D300B"/>
    <w:rsid w:val="005D37CA"/>
    <w:rsid w:val="005D3B71"/>
    <w:rsid w:val="005D3D50"/>
    <w:rsid w:val="005D3E3F"/>
    <w:rsid w:val="005D4706"/>
    <w:rsid w:val="005D4A6D"/>
    <w:rsid w:val="005D506B"/>
    <w:rsid w:val="005D722D"/>
    <w:rsid w:val="005D7E00"/>
    <w:rsid w:val="005E04CE"/>
    <w:rsid w:val="005E052A"/>
    <w:rsid w:val="005E1950"/>
    <w:rsid w:val="005E2659"/>
    <w:rsid w:val="005E3DF9"/>
    <w:rsid w:val="005E403C"/>
    <w:rsid w:val="005E4437"/>
    <w:rsid w:val="005E48AE"/>
    <w:rsid w:val="005E4AF3"/>
    <w:rsid w:val="005E5BDF"/>
    <w:rsid w:val="005E62F5"/>
    <w:rsid w:val="005E6B09"/>
    <w:rsid w:val="005E76BF"/>
    <w:rsid w:val="005F01DB"/>
    <w:rsid w:val="005F100F"/>
    <w:rsid w:val="005F1A5C"/>
    <w:rsid w:val="005F2FA6"/>
    <w:rsid w:val="005F5111"/>
    <w:rsid w:val="005F5BC3"/>
    <w:rsid w:val="005F624E"/>
    <w:rsid w:val="005F6887"/>
    <w:rsid w:val="005F798E"/>
    <w:rsid w:val="005F7F87"/>
    <w:rsid w:val="00600555"/>
    <w:rsid w:val="00600B05"/>
    <w:rsid w:val="0060144F"/>
    <w:rsid w:val="00601451"/>
    <w:rsid w:val="00602031"/>
    <w:rsid w:val="0060526C"/>
    <w:rsid w:val="00605838"/>
    <w:rsid w:val="00605AFD"/>
    <w:rsid w:val="00605CD9"/>
    <w:rsid w:val="00606A07"/>
    <w:rsid w:val="006126D9"/>
    <w:rsid w:val="00613C1A"/>
    <w:rsid w:val="006147EB"/>
    <w:rsid w:val="00614A8D"/>
    <w:rsid w:val="00614C70"/>
    <w:rsid w:val="006151EE"/>
    <w:rsid w:val="00615F32"/>
    <w:rsid w:val="00617AB3"/>
    <w:rsid w:val="006200EB"/>
    <w:rsid w:val="00620155"/>
    <w:rsid w:val="00621EA3"/>
    <w:rsid w:val="00622029"/>
    <w:rsid w:val="00622289"/>
    <w:rsid w:val="006223D3"/>
    <w:rsid w:val="00622860"/>
    <w:rsid w:val="00622A29"/>
    <w:rsid w:val="006247B4"/>
    <w:rsid w:val="00624C69"/>
    <w:rsid w:val="00624CE0"/>
    <w:rsid w:val="00625065"/>
    <w:rsid w:val="00625637"/>
    <w:rsid w:val="00625968"/>
    <w:rsid w:val="00625AF0"/>
    <w:rsid w:val="00626C74"/>
    <w:rsid w:val="00627290"/>
    <w:rsid w:val="0062753B"/>
    <w:rsid w:val="006315E3"/>
    <w:rsid w:val="0063239E"/>
    <w:rsid w:val="0063290A"/>
    <w:rsid w:val="00632C8C"/>
    <w:rsid w:val="00632E3E"/>
    <w:rsid w:val="00633A32"/>
    <w:rsid w:val="00633ADE"/>
    <w:rsid w:val="0063481B"/>
    <w:rsid w:val="006378D1"/>
    <w:rsid w:val="006400E4"/>
    <w:rsid w:val="00640233"/>
    <w:rsid w:val="00640234"/>
    <w:rsid w:val="006411CF"/>
    <w:rsid w:val="00641290"/>
    <w:rsid w:val="00641EE8"/>
    <w:rsid w:val="0064343A"/>
    <w:rsid w:val="00644845"/>
    <w:rsid w:val="0064612B"/>
    <w:rsid w:val="006465CC"/>
    <w:rsid w:val="006467D2"/>
    <w:rsid w:val="0064686E"/>
    <w:rsid w:val="00647929"/>
    <w:rsid w:val="00650CD1"/>
    <w:rsid w:val="00652F4D"/>
    <w:rsid w:val="006537ED"/>
    <w:rsid w:val="00654FA2"/>
    <w:rsid w:val="006556D0"/>
    <w:rsid w:val="00656002"/>
    <w:rsid w:val="00657622"/>
    <w:rsid w:val="00657841"/>
    <w:rsid w:val="00660427"/>
    <w:rsid w:val="00661424"/>
    <w:rsid w:val="0066335A"/>
    <w:rsid w:val="006642FC"/>
    <w:rsid w:val="00664CA8"/>
    <w:rsid w:val="006656E5"/>
    <w:rsid w:val="00665FB6"/>
    <w:rsid w:val="0067064A"/>
    <w:rsid w:val="00673900"/>
    <w:rsid w:val="00673C3D"/>
    <w:rsid w:val="0067444F"/>
    <w:rsid w:val="006747F9"/>
    <w:rsid w:val="00675C2C"/>
    <w:rsid w:val="00677CE4"/>
    <w:rsid w:val="00680C80"/>
    <w:rsid w:val="006832A6"/>
    <w:rsid w:val="006832E3"/>
    <w:rsid w:val="00683CD2"/>
    <w:rsid w:val="0068401E"/>
    <w:rsid w:val="00687A06"/>
    <w:rsid w:val="0069358C"/>
    <w:rsid w:val="006935F3"/>
    <w:rsid w:val="006940E5"/>
    <w:rsid w:val="00694242"/>
    <w:rsid w:val="00695B6A"/>
    <w:rsid w:val="00696444"/>
    <w:rsid w:val="0069725E"/>
    <w:rsid w:val="00697F40"/>
    <w:rsid w:val="006A008F"/>
    <w:rsid w:val="006A012D"/>
    <w:rsid w:val="006A0971"/>
    <w:rsid w:val="006A1050"/>
    <w:rsid w:val="006A12BD"/>
    <w:rsid w:val="006A3003"/>
    <w:rsid w:val="006A33BA"/>
    <w:rsid w:val="006A3D23"/>
    <w:rsid w:val="006A435F"/>
    <w:rsid w:val="006A461E"/>
    <w:rsid w:val="006A5452"/>
    <w:rsid w:val="006A5AA6"/>
    <w:rsid w:val="006A5ACF"/>
    <w:rsid w:val="006A65D4"/>
    <w:rsid w:val="006A6D20"/>
    <w:rsid w:val="006A6E2C"/>
    <w:rsid w:val="006A7050"/>
    <w:rsid w:val="006A7B8F"/>
    <w:rsid w:val="006B289C"/>
    <w:rsid w:val="006B3000"/>
    <w:rsid w:val="006B444C"/>
    <w:rsid w:val="006B611A"/>
    <w:rsid w:val="006B6CDF"/>
    <w:rsid w:val="006B753E"/>
    <w:rsid w:val="006C0A59"/>
    <w:rsid w:val="006C0C42"/>
    <w:rsid w:val="006C0EA7"/>
    <w:rsid w:val="006C184B"/>
    <w:rsid w:val="006C2C72"/>
    <w:rsid w:val="006C408E"/>
    <w:rsid w:val="006C641E"/>
    <w:rsid w:val="006C7B4C"/>
    <w:rsid w:val="006C7B57"/>
    <w:rsid w:val="006D0E55"/>
    <w:rsid w:val="006D153C"/>
    <w:rsid w:val="006D1C63"/>
    <w:rsid w:val="006D2489"/>
    <w:rsid w:val="006D3701"/>
    <w:rsid w:val="006D38CE"/>
    <w:rsid w:val="006D3F43"/>
    <w:rsid w:val="006D64C0"/>
    <w:rsid w:val="006D6AD6"/>
    <w:rsid w:val="006D79FC"/>
    <w:rsid w:val="006E008B"/>
    <w:rsid w:val="006E0702"/>
    <w:rsid w:val="006E170D"/>
    <w:rsid w:val="006E322F"/>
    <w:rsid w:val="006E4755"/>
    <w:rsid w:val="006E4B08"/>
    <w:rsid w:val="006E6307"/>
    <w:rsid w:val="006E698B"/>
    <w:rsid w:val="006E6A10"/>
    <w:rsid w:val="006E6DD6"/>
    <w:rsid w:val="006F0E20"/>
    <w:rsid w:val="006F22E9"/>
    <w:rsid w:val="006F2B07"/>
    <w:rsid w:val="006F4927"/>
    <w:rsid w:val="006F4DCB"/>
    <w:rsid w:val="006F617C"/>
    <w:rsid w:val="006F6D86"/>
    <w:rsid w:val="006F719A"/>
    <w:rsid w:val="006F7AF9"/>
    <w:rsid w:val="0070187D"/>
    <w:rsid w:val="0070304D"/>
    <w:rsid w:val="007037D6"/>
    <w:rsid w:val="00703C45"/>
    <w:rsid w:val="0070630C"/>
    <w:rsid w:val="00707081"/>
    <w:rsid w:val="00711B05"/>
    <w:rsid w:val="00712E3C"/>
    <w:rsid w:val="007132F7"/>
    <w:rsid w:val="00713C8B"/>
    <w:rsid w:val="0071469A"/>
    <w:rsid w:val="00714878"/>
    <w:rsid w:val="0071548B"/>
    <w:rsid w:val="007159A2"/>
    <w:rsid w:val="00715A5F"/>
    <w:rsid w:val="00715FBF"/>
    <w:rsid w:val="0071603E"/>
    <w:rsid w:val="0071657E"/>
    <w:rsid w:val="00717237"/>
    <w:rsid w:val="007174B4"/>
    <w:rsid w:val="00717583"/>
    <w:rsid w:val="007203E4"/>
    <w:rsid w:val="007204A9"/>
    <w:rsid w:val="00720E3A"/>
    <w:rsid w:val="00721648"/>
    <w:rsid w:val="00721771"/>
    <w:rsid w:val="00721DD2"/>
    <w:rsid w:val="00721FCA"/>
    <w:rsid w:val="007228C4"/>
    <w:rsid w:val="00724AED"/>
    <w:rsid w:val="00724C24"/>
    <w:rsid w:val="007262D6"/>
    <w:rsid w:val="00727FBE"/>
    <w:rsid w:val="007303E9"/>
    <w:rsid w:val="00731265"/>
    <w:rsid w:val="0073307A"/>
    <w:rsid w:val="00734CE5"/>
    <w:rsid w:val="00734F00"/>
    <w:rsid w:val="00735933"/>
    <w:rsid w:val="00735F59"/>
    <w:rsid w:val="0073660A"/>
    <w:rsid w:val="00736893"/>
    <w:rsid w:val="007368C3"/>
    <w:rsid w:val="007404AC"/>
    <w:rsid w:val="00740CCE"/>
    <w:rsid w:val="00743AFD"/>
    <w:rsid w:val="0074564C"/>
    <w:rsid w:val="007459CD"/>
    <w:rsid w:val="00746253"/>
    <w:rsid w:val="00746ADE"/>
    <w:rsid w:val="00746C76"/>
    <w:rsid w:val="007472CC"/>
    <w:rsid w:val="007504C3"/>
    <w:rsid w:val="007507CB"/>
    <w:rsid w:val="00750816"/>
    <w:rsid w:val="00751FC1"/>
    <w:rsid w:val="0075290C"/>
    <w:rsid w:val="007539E8"/>
    <w:rsid w:val="00753C83"/>
    <w:rsid w:val="00754425"/>
    <w:rsid w:val="0075465D"/>
    <w:rsid w:val="00754A4B"/>
    <w:rsid w:val="00756929"/>
    <w:rsid w:val="0076179A"/>
    <w:rsid w:val="00761CE3"/>
    <w:rsid w:val="00761D11"/>
    <w:rsid w:val="007621FE"/>
    <w:rsid w:val="00764EA7"/>
    <w:rsid w:val="00764FD5"/>
    <w:rsid w:val="007658BE"/>
    <w:rsid w:val="00765909"/>
    <w:rsid w:val="00767154"/>
    <w:rsid w:val="00767262"/>
    <w:rsid w:val="007679E2"/>
    <w:rsid w:val="00767C54"/>
    <w:rsid w:val="00767DBB"/>
    <w:rsid w:val="007700FA"/>
    <w:rsid w:val="00770B7F"/>
    <w:rsid w:val="00772EBC"/>
    <w:rsid w:val="00772FE6"/>
    <w:rsid w:val="007744FD"/>
    <w:rsid w:val="00774646"/>
    <w:rsid w:val="00774A66"/>
    <w:rsid w:val="007752AA"/>
    <w:rsid w:val="007758BF"/>
    <w:rsid w:val="00775F24"/>
    <w:rsid w:val="00776193"/>
    <w:rsid w:val="0077773B"/>
    <w:rsid w:val="00777853"/>
    <w:rsid w:val="00780D87"/>
    <w:rsid w:val="00781695"/>
    <w:rsid w:val="00781E71"/>
    <w:rsid w:val="007822FE"/>
    <w:rsid w:val="00782E76"/>
    <w:rsid w:val="007830B7"/>
    <w:rsid w:val="00783983"/>
    <w:rsid w:val="00784B9F"/>
    <w:rsid w:val="00784F53"/>
    <w:rsid w:val="0078673D"/>
    <w:rsid w:val="0078676F"/>
    <w:rsid w:val="00787D11"/>
    <w:rsid w:val="00790B8F"/>
    <w:rsid w:val="00791229"/>
    <w:rsid w:val="00791711"/>
    <w:rsid w:val="007932D8"/>
    <w:rsid w:val="007959B5"/>
    <w:rsid w:val="0079681B"/>
    <w:rsid w:val="0079754C"/>
    <w:rsid w:val="007A02A7"/>
    <w:rsid w:val="007A22BF"/>
    <w:rsid w:val="007A3363"/>
    <w:rsid w:val="007A48F9"/>
    <w:rsid w:val="007A5115"/>
    <w:rsid w:val="007A5799"/>
    <w:rsid w:val="007A5830"/>
    <w:rsid w:val="007A5B39"/>
    <w:rsid w:val="007A5D03"/>
    <w:rsid w:val="007A6414"/>
    <w:rsid w:val="007A6676"/>
    <w:rsid w:val="007B118A"/>
    <w:rsid w:val="007B1320"/>
    <w:rsid w:val="007B31FA"/>
    <w:rsid w:val="007B34E5"/>
    <w:rsid w:val="007B63C6"/>
    <w:rsid w:val="007B6424"/>
    <w:rsid w:val="007B6767"/>
    <w:rsid w:val="007B6B0E"/>
    <w:rsid w:val="007B7474"/>
    <w:rsid w:val="007B786D"/>
    <w:rsid w:val="007C0572"/>
    <w:rsid w:val="007C0935"/>
    <w:rsid w:val="007C4044"/>
    <w:rsid w:val="007C44DD"/>
    <w:rsid w:val="007C712E"/>
    <w:rsid w:val="007C7785"/>
    <w:rsid w:val="007D0547"/>
    <w:rsid w:val="007D2078"/>
    <w:rsid w:val="007D243C"/>
    <w:rsid w:val="007D256E"/>
    <w:rsid w:val="007D2B6E"/>
    <w:rsid w:val="007D3421"/>
    <w:rsid w:val="007D3BF0"/>
    <w:rsid w:val="007D4E99"/>
    <w:rsid w:val="007D5BEC"/>
    <w:rsid w:val="007D665C"/>
    <w:rsid w:val="007D7CEC"/>
    <w:rsid w:val="007E05F8"/>
    <w:rsid w:val="007E16D7"/>
    <w:rsid w:val="007E19A3"/>
    <w:rsid w:val="007E1A74"/>
    <w:rsid w:val="007E1B99"/>
    <w:rsid w:val="007E20D9"/>
    <w:rsid w:val="007E261B"/>
    <w:rsid w:val="007E2934"/>
    <w:rsid w:val="007E2C23"/>
    <w:rsid w:val="007E6F72"/>
    <w:rsid w:val="007E709A"/>
    <w:rsid w:val="007E711A"/>
    <w:rsid w:val="007E73AF"/>
    <w:rsid w:val="007E74DF"/>
    <w:rsid w:val="007F1199"/>
    <w:rsid w:val="007F170A"/>
    <w:rsid w:val="007F2D0E"/>
    <w:rsid w:val="007F3272"/>
    <w:rsid w:val="007F4A12"/>
    <w:rsid w:val="007F4B3F"/>
    <w:rsid w:val="007F4E93"/>
    <w:rsid w:val="007F52CB"/>
    <w:rsid w:val="007F54E5"/>
    <w:rsid w:val="007F63D7"/>
    <w:rsid w:val="00801FFB"/>
    <w:rsid w:val="00802345"/>
    <w:rsid w:val="0080301A"/>
    <w:rsid w:val="00803C0A"/>
    <w:rsid w:val="0080453D"/>
    <w:rsid w:val="008046D4"/>
    <w:rsid w:val="00804DDC"/>
    <w:rsid w:val="00805303"/>
    <w:rsid w:val="00805984"/>
    <w:rsid w:val="00805A54"/>
    <w:rsid w:val="00806E4E"/>
    <w:rsid w:val="00811191"/>
    <w:rsid w:val="00811A22"/>
    <w:rsid w:val="0081308C"/>
    <w:rsid w:val="008136AF"/>
    <w:rsid w:val="00813BA6"/>
    <w:rsid w:val="00813DD4"/>
    <w:rsid w:val="008148A9"/>
    <w:rsid w:val="00814AF7"/>
    <w:rsid w:val="00815641"/>
    <w:rsid w:val="0081583B"/>
    <w:rsid w:val="00815CFC"/>
    <w:rsid w:val="00820D10"/>
    <w:rsid w:val="00821119"/>
    <w:rsid w:val="00821167"/>
    <w:rsid w:val="008221B3"/>
    <w:rsid w:val="00823503"/>
    <w:rsid w:val="00823598"/>
    <w:rsid w:val="008248C6"/>
    <w:rsid w:val="00824AFE"/>
    <w:rsid w:val="00826058"/>
    <w:rsid w:val="00827309"/>
    <w:rsid w:val="00830106"/>
    <w:rsid w:val="008308D2"/>
    <w:rsid w:val="0083325E"/>
    <w:rsid w:val="00833792"/>
    <w:rsid w:val="00834B62"/>
    <w:rsid w:val="00836E4B"/>
    <w:rsid w:val="0083707D"/>
    <w:rsid w:val="00840289"/>
    <w:rsid w:val="0084051B"/>
    <w:rsid w:val="00842B1E"/>
    <w:rsid w:val="00842BAB"/>
    <w:rsid w:val="00842C5C"/>
    <w:rsid w:val="00843360"/>
    <w:rsid w:val="00843B60"/>
    <w:rsid w:val="0084412D"/>
    <w:rsid w:val="008447D9"/>
    <w:rsid w:val="00844BFC"/>
    <w:rsid w:val="00844D48"/>
    <w:rsid w:val="008450D5"/>
    <w:rsid w:val="00846E52"/>
    <w:rsid w:val="008505A3"/>
    <w:rsid w:val="008512C4"/>
    <w:rsid w:val="008516E5"/>
    <w:rsid w:val="0085269F"/>
    <w:rsid w:val="00852A90"/>
    <w:rsid w:val="00852B11"/>
    <w:rsid w:val="00852F35"/>
    <w:rsid w:val="00853043"/>
    <w:rsid w:val="00854BC5"/>
    <w:rsid w:val="00855222"/>
    <w:rsid w:val="008553ED"/>
    <w:rsid w:val="008565C8"/>
    <w:rsid w:val="00856C66"/>
    <w:rsid w:val="00856FC4"/>
    <w:rsid w:val="0085715E"/>
    <w:rsid w:val="00857363"/>
    <w:rsid w:val="00857410"/>
    <w:rsid w:val="008575D7"/>
    <w:rsid w:val="008576AB"/>
    <w:rsid w:val="008576F5"/>
    <w:rsid w:val="00857915"/>
    <w:rsid w:val="00857FA5"/>
    <w:rsid w:val="00860159"/>
    <w:rsid w:val="00860CE5"/>
    <w:rsid w:val="00861083"/>
    <w:rsid w:val="00861862"/>
    <w:rsid w:val="00862E42"/>
    <w:rsid w:val="00863134"/>
    <w:rsid w:val="008638CD"/>
    <w:rsid w:val="00865BD8"/>
    <w:rsid w:val="008663AF"/>
    <w:rsid w:val="00866C97"/>
    <w:rsid w:val="00866E3A"/>
    <w:rsid w:val="00867478"/>
    <w:rsid w:val="00867649"/>
    <w:rsid w:val="0086768E"/>
    <w:rsid w:val="008676E3"/>
    <w:rsid w:val="00867DD1"/>
    <w:rsid w:val="00867EC7"/>
    <w:rsid w:val="00870171"/>
    <w:rsid w:val="00870A0B"/>
    <w:rsid w:val="0087269F"/>
    <w:rsid w:val="00873CE7"/>
    <w:rsid w:val="0087525E"/>
    <w:rsid w:val="00875D85"/>
    <w:rsid w:val="00876323"/>
    <w:rsid w:val="00876AEC"/>
    <w:rsid w:val="00877407"/>
    <w:rsid w:val="0087791C"/>
    <w:rsid w:val="008800E5"/>
    <w:rsid w:val="008803AB"/>
    <w:rsid w:val="00880485"/>
    <w:rsid w:val="0088277A"/>
    <w:rsid w:val="00883248"/>
    <w:rsid w:val="008834FA"/>
    <w:rsid w:val="0088446C"/>
    <w:rsid w:val="0088535D"/>
    <w:rsid w:val="00885F08"/>
    <w:rsid w:val="00886AC3"/>
    <w:rsid w:val="00886F13"/>
    <w:rsid w:val="0088718A"/>
    <w:rsid w:val="00887E73"/>
    <w:rsid w:val="00890919"/>
    <w:rsid w:val="0089209E"/>
    <w:rsid w:val="008921A0"/>
    <w:rsid w:val="008922C8"/>
    <w:rsid w:val="00892A06"/>
    <w:rsid w:val="00894331"/>
    <w:rsid w:val="00894602"/>
    <w:rsid w:val="00894779"/>
    <w:rsid w:val="00897730"/>
    <w:rsid w:val="0089773D"/>
    <w:rsid w:val="008A035E"/>
    <w:rsid w:val="008A0614"/>
    <w:rsid w:val="008A343D"/>
    <w:rsid w:val="008A47C1"/>
    <w:rsid w:val="008A4BD9"/>
    <w:rsid w:val="008A4F93"/>
    <w:rsid w:val="008A53AA"/>
    <w:rsid w:val="008A5BCE"/>
    <w:rsid w:val="008A6028"/>
    <w:rsid w:val="008A6801"/>
    <w:rsid w:val="008A682F"/>
    <w:rsid w:val="008B143B"/>
    <w:rsid w:val="008B19BE"/>
    <w:rsid w:val="008B1D70"/>
    <w:rsid w:val="008B213E"/>
    <w:rsid w:val="008B21D6"/>
    <w:rsid w:val="008B2AAC"/>
    <w:rsid w:val="008B2C98"/>
    <w:rsid w:val="008B38DC"/>
    <w:rsid w:val="008B39DA"/>
    <w:rsid w:val="008B43DE"/>
    <w:rsid w:val="008B44F5"/>
    <w:rsid w:val="008B4CF8"/>
    <w:rsid w:val="008B4E95"/>
    <w:rsid w:val="008B69BB"/>
    <w:rsid w:val="008B7ACB"/>
    <w:rsid w:val="008C0201"/>
    <w:rsid w:val="008C100D"/>
    <w:rsid w:val="008C21AA"/>
    <w:rsid w:val="008C39D8"/>
    <w:rsid w:val="008C47A1"/>
    <w:rsid w:val="008C488F"/>
    <w:rsid w:val="008C6BC5"/>
    <w:rsid w:val="008C738F"/>
    <w:rsid w:val="008C7591"/>
    <w:rsid w:val="008C7720"/>
    <w:rsid w:val="008C7837"/>
    <w:rsid w:val="008D08C4"/>
    <w:rsid w:val="008D106D"/>
    <w:rsid w:val="008D18DF"/>
    <w:rsid w:val="008D1BE1"/>
    <w:rsid w:val="008D224E"/>
    <w:rsid w:val="008D2BBF"/>
    <w:rsid w:val="008D30BB"/>
    <w:rsid w:val="008D3785"/>
    <w:rsid w:val="008D46B4"/>
    <w:rsid w:val="008D49C9"/>
    <w:rsid w:val="008D5051"/>
    <w:rsid w:val="008D5240"/>
    <w:rsid w:val="008D5331"/>
    <w:rsid w:val="008D5516"/>
    <w:rsid w:val="008D6659"/>
    <w:rsid w:val="008D6B9E"/>
    <w:rsid w:val="008D6EB6"/>
    <w:rsid w:val="008D7C89"/>
    <w:rsid w:val="008E1024"/>
    <w:rsid w:val="008E267A"/>
    <w:rsid w:val="008E3506"/>
    <w:rsid w:val="008E39BB"/>
    <w:rsid w:val="008E3D19"/>
    <w:rsid w:val="008E4850"/>
    <w:rsid w:val="008F00C2"/>
    <w:rsid w:val="008F13B8"/>
    <w:rsid w:val="008F14F0"/>
    <w:rsid w:val="008F1A38"/>
    <w:rsid w:val="008F1DEC"/>
    <w:rsid w:val="008F20DA"/>
    <w:rsid w:val="008F37E0"/>
    <w:rsid w:val="008F3806"/>
    <w:rsid w:val="008F3A7F"/>
    <w:rsid w:val="008F42C2"/>
    <w:rsid w:val="008F467D"/>
    <w:rsid w:val="008F4BB6"/>
    <w:rsid w:val="008F58C8"/>
    <w:rsid w:val="008F69EF"/>
    <w:rsid w:val="00900B56"/>
    <w:rsid w:val="00901B01"/>
    <w:rsid w:val="00903226"/>
    <w:rsid w:val="00903D5F"/>
    <w:rsid w:val="009043D3"/>
    <w:rsid w:val="00904D76"/>
    <w:rsid w:val="00904F05"/>
    <w:rsid w:val="0090610E"/>
    <w:rsid w:val="009073EB"/>
    <w:rsid w:val="00910CE1"/>
    <w:rsid w:val="00912EB9"/>
    <w:rsid w:val="00913DBE"/>
    <w:rsid w:val="00913ED0"/>
    <w:rsid w:val="0091416E"/>
    <w:rsid w:val="00915010"/>
    <w:rsid w:val="00915829"/>
    <w:rsid w:val="00915AC9"/>
    <w:rsid w:val="00915B01"/>
    <w:rsid w:val="00916F4B"/>
    <w:rsid w:val="00920947"/>
    <w:rsid w:val="00920A1F"/>
    <w:rsid w:val="00921794"/>
    <w:rsid w:val="00921BCF"/>
    <w:rsid w:val="00922864"/>
    <w:rsid w:val="009245DA"/>
    <w:rsid w:val="00924885"/>
    <w:rsid w:val="00925CA7"/>
    <w:rsid w:val="00926CB1"/>
    <w:rsid w:val="00927114"/>
    <w:rsid w:val="009274BD"/>
    <w:rsid w:val="00927650"/>
    <w:rsid w:val="00930655"/>
    <w:rsid w:val="009311FC"/>
    <w:rsid w:val="0093133E"/>
    <w:rsid w:val="00931FB4"/>
    <w:rsid w:val="009322A5"/>
    <w:rsid w:val="009331E3"/>
    <w:rsid w:val="009335CC"/>
    <w:rsid w:val="009348D1"/>
    <w:rsid w:val="00935415"/>
    <w:rsid w:val="0093778E"/>
    <w:rsid w:val="00937A04"/>
    <w:rsid w:val="00937E52"/>
    <w:rsid w:val="0094026A"/>
    <w:rsid w:val="0094053E"/>
    <w:rsid w:val="009414F8"/>
    <w:rsid w:val="00941EF7"/>
    <w:rsid w:val="00942648"/>
    <w:rsid w:val="00942CB6"/>
    <w:rsid w:val="00942CE9"/>
    <w:rsid w:val="00943449"/>
    <w:rsid w:val="00943E57"/>
    <w:rsid w:val="009461FD"/>
    <w:rsid w:val="009475AA"/>
    <w:rsid w:val="00947A6D"/>
    <w:rsid w:val="00950EC5"/>
    <w:rsid w:val="009511FA"/>
    <w:rsid w:val="0095255A"/>
    <w:rsid w:val="0095284F"/>
    <w:rsid w:val="00954C10"/>
    <w:rsid w:val="00954FF2"/>
    <w:rsid w:val="00955FFC"/>
    <w:rsid w:val="009561AF"/>
    <w:rsid w:val="009565EA"/>
    <w:rsid w:val="009610E1"/>
    <w:rsid w:val="009615D2"/>
    <w:rsid w:val="00961C36"/>
    <w:rsid w:val="00961D30"/>
    <w:rsid w:val="009626D2"/>
    <w:rsid w:val="00962E0C"/>
    <w:rsid w:val="00962E97"/>
    <w:rsid w:val="00962EE8"/>
    <w:rsid w:val="00963926"/>
    <w:rsid w:val="0096495E"/>
    <w:rsid w:val="0096502B"/>
    <w:rsid w:val="009661C1"/>
    <w:rsid w:val="00971309"/>
    <w:rsid w:val="00971F82"/>
    <w:rsid w:val="0097297A"/>
    <w:rsid w:val="00972E22"/>
    <w:rsid w:val="00972F88"/>
    <w:rsid w:val="009738BD"/>
    <w:rsid w:val="009746D3"/>
    <w:rsid w:val="0097515F"/>
    <w:rsid w:val="00975AC1"/>
    <w:rsid w:val="00976EE9"/>
    <w:rsid w:val="00980B55"/>
    <w:rsid w:val="00981246"/>
    <w:rsid w:val="0098191D"/>
    <w:rsid w:val="009819E9"/>
    <w:rsid w:val="00982F8F"/>
    <w:rsid w:val="00983830"/>
    <w:rsid w:val="00983915"/>
    <w:rsid w:val="00983E52"/>
    <w:rsid w:val="00984376"/>
    <w:rsid w:val="009850FA"/>
    <w:rsid w:val="0098514B"/>
    <w:rsid w:val="009859B7"/>
    <w:rsid w:val="009860D6"/>
    <w:rsid w:val="009872B4"/>
    <w:rsid w:val="00987367"/>
    <w:rsid w:val="009901FF"/>
    <w:rsid w:val="009919AE"/>
    <w:rsid w:val="00992EC1"/>
    <w:rsid w:val="00994634"/>
    <w:rsid w:val="009960A2"/>
    <w:rsid w:val="00996CE2"/>
    <w:rsid w:val="00996D24"/>
    <w:rsid w:val="00996E13"/>
    <w:rsid w:val="009975D2"/>
    <w:rsid w:val="00997F90"/>
    <w:rsid w:val="009A033F"/>
    <w:rsid w:val="009A06B1"/>
    <w:rsid w:val="009A0726"/>
    <w:rsid w:val="009A07FD"/>
    <w:rsid w:val="009A0B23"/>
    <w:rsid w:val="009A0B5F"/>
    <w:rsid w:val="009A1296"/>
    <w:rsid w:val="009A1470"/>
    <w:rsid w:val="009A150A"/>
    <w:rsid w:val="009A2511"/>
    <w:rsid w:val="009A3BDF"/>
    <w:rsid w:val="009A4CFB"/>
    <w:rsid w:val="009A5644"/>
    <w:rsid w:val="009A63CD"/>
    <w:rsid w:val="009A6D9C"/>
    <w:rsid w:val="009A71E1"/>
    <w:rsid w:val="009A75A8"/>
    <w:rsid w:val="009A7A1B"/>
    <w:rsid w:val="009A7B07"/>
    <w:rsid w:val="009A7E60"/>
    <w:rsid w:val="009B0DAA"/>
    <w:rsid w:val="009B16BD"/>
    <w:rsid w:val="009B2118"/>
    <w:rsid w:val="009B26F1"/>
    <w:rsid w:val="009B3B8B"/>
    <w:rsid w:val="009B3DB9"/>
    <w:rsid w:val="009B3ED3"/>
    <w:rsid w:val="009B3F3B"/>
    <w:rsid w:val="009B441E"/>
    <w:rsid w:val="009B4DBF"/>
    <w:rsid w:val="009B50F2"/>
    <w:rsid w:val="009B6266"/>
    <w:rsid w:val="009B632C"/>
    <w:rsid w:val="009B6627"/>
    <w:rsid w:val="009B7580"/>
    <w:rsid w:val="009B7912"/>
    <w:rsid w:val="009C0958"/>
    <w:rsid w:val="009C1D0A"/>
    <w:rsid w:val="009C5C18"/>
    <w:rsid w:val="009C60F6"/>
    <w:rsid w:val="009C6227"/>
    <w:rsid w:val="009C6815"/>
    <w:rsid w:val="009C69AF"/>
    <w:rsid w:val="009C7870"/>
    <w:rsid w:val="009D0380"/>
    <w:rsid w:val="009D1EAE"/>
    <w:rsid w:val="009D20E0"/>
    <w:rsid w:val="009D295B"/>
    <w:rsid w:val="009D296A"/>
    <w:rsid w:val="009D4841"/>
    <w:rsid w:val="009D4FFD"/>
    <w:rsid w:val="009D52FF"/>
    <w:rsid w:val="009D58E0"/>
    <w:rsid w:val="009D60D3"/>
    <w:rsid w:val="009D6382"/>
    <w:rsid w:val="009D688A"/>
    <w:rsid w:val="009D6BCF"/>
    <w:rsid w:val="009D6F4A"/>
    <w:rsid w:val="009D787B"/>
    <w:rsid w:val="009E045A"/>
    <w:rsid w:val="009E3EFE"/>
    <w:rsid w:val="009E4AD3"/>
    <w:rsid w:val="009E51CC"/>
    <w:rsid w:val="009E6866"/>
    <w:rsid w:val="009E7A0E"/>
    <w:rsid w:val="009F0889"/>
    <w:rsid w:val="009F0D56"/>
    <w:rsid w:val="009F1547"/>
    <w:rsid w:val="009F1634"/>
    <w:rsid w:val="009F258D"/>
    <w:rsid w:val="009F3453"/>
    <w:rsid w:val="009F3A87"/>
    <w:rsid w:val="009F3D6E"/>
    <w:rsid w:val="009F415E"/>
    <w:rsid w:val="009F4C4B"/>
    <w:rsid w:val="009F538C"/>
    <w:rsid w:val="009F5F91"/>
    <w:rsid w:val="009F6284"/>
    <w:rsid w:val="009F6A0F"/>
    <w:rsid w:val="009F6A9D"/>
    <w:rsid w:val="00A008E6"/>
    <w:rsid w:val="00A02678"/>
    <w:rsid w:val="00A02AF6"/>
    <w:rsid w:val="00A0345D"/>
    <w:rsid w:val="00A03463"/>
    <w:rsid w:val="00A03A04"/>
    <w:rsid w:val="00A03C7F"/>
    <w:rsid w:val="00A045C7"/>
    <w:rsid w:val="00A05039"/>
    <w:rsid w:val="00A05383"/>
    <w:rsid w:val="00A07DB9"/>
    <w:rsid w:val="00A103EF"/>
    <w:rsid w:val="00A114A5"/>
    <w:rsid w:val="00A12087"/>
    <w:rsid w:val="00A12888"/>
    <w:rsid w:val="00A12C83"/>
    <w:rsid w:val="00A1355D"/>
    <w:rsid w:val="00A13789"/>
    <w:rsid w:val="00A15245"/>
    <w:rsid w:val="00A2045A"/>
    <w:rsid w:val="00A20D9F"/>
    <w:rsid w:val="00A211E1"/>
    <w:rsid w:val="00A214BB"/>
    <w:rsid w:val="00A219DE"/>
    <w:rsid w:val="00A223E1"/>
    <w:rsid w:val="00A2270B"/>
    <w:rsid w:val="00A2334C"/>
    <w:rsid w:val="00A2485E"/>
    <w:rsid w:val="00A257E8"/>
    <w:rsid w:val="00A2698B"/>
    <w:rsid w:val="00A271F7"/>
    <w:rsid w:val="00A27454"/>
    <w:rsid w:val="00A300CF"/>
    <w:rsid w:val="00A300F4"/>
    <w:rsid w:val="00A303D2"/>
    <w:rsid w:val="00A3138C"/>
    <w:rsid w:val="00A31454"/>
    <w:rsid w:val="00A32192"/>
    <w:rsid w:val="00A3485B"/>
    <w:rsid w:val="00A36231"/>
    <w:rsid w:val="00A36DF3"/>
    <w:rsid w:val="00A4122C"/>
    <w:rsid w:val="00A41718"/>
    <w:rsid w:val="00A43524"/>
    <w:rsid w:val="00A439CD"/>
    <w:rsid w:val="00A43BDB"/>
    <w:rsid w:val="00A43D27"/>
    <w:rsid w:val="00A44C51"/>
    <w:rsid w:val="00A44FAB"/>
    <w:rsid w:val="00A456DA"/>
    <w:rsid w:val="00A4690F"/>
    <w:rsid w:val="00A46FEA"/>
    <w:rsid w:val="00A472E2"/>
    <w:rsid w:val="00A47927"/>
    <w:rsid w:val="00A50056"/>
    <w:rsid w:val="00A500E3"/>
    <w:rsid w:val="00A50EDF"/>
    <w:rsid w:val="00A50F4B"/>
    <w:rsid w:val="00A5151C"/>
    <w:rsid w:val="00A51A13"/>
    <w:rsid w:val="00A51A72"/>
    <w:rsid w:val="00A52168"/>
    <w:rsid w:val="00A5254B"/>
    <w:rsid w:val="00A540A3"/>
    <w:rsid w:val="00A540B4"/>
    <w:rsid w:val="00A54417"/>
    <w:rsid w:val="00A545F1"/>
    <w:rsid w:val="00A55ADC"/>
    <w:rsid w:val="00A56052"/>
    <w:rsid w:val="00A56136"/>
    <w:rsid w:val="00A563AF"/>
    <w:rsid w:val="00A56D7A"/>
    <w:rsid w:val="00A57142"/>
    <w:rsid w:val="00A612AA"/>
    <w:rsid w:val="00A6130E"/>
    <w:rsid w:val="00A61628"/>
    <w:rsid w:val="00A619B7"/>
    <w:rsid w:val="00A62E67"/>
    <w:rsid w:val="00A62EF3"/>
    <w:rsid w:val="00A63684"/>
    <w:rsid w:val="00A63A2E"/>
    <w:rsid w:val="00A65A57"/>
    <w:rsid w:val="00A664DA"/>
    <w:rsid w:val="00A66C5F"/>
    <w:rsid w:val="00A71181"/>
    <w:rsid w:val="00A71A33"/>
    <w:rsid w:val="00A71DFC"/>
    <w:rsid w:val="00A72127"/>
    <w:rsid w:val="00A72AD4"/>
    <w:rsid w:val="00A732BD"/>
    <w:rsid w:val="00A73BDC"/>
    <w:rsid w:val="00A749E3"/>
    <w:rsid w:val="00A74D46"/>
    <w:rsid w:val="00A76505"/>
    <w:rsid w:val="00A77529"/>
    <w:rsid w:val="00A77A8F"/>
    <w:rsid w:val="00A80DB8"/>
    <w:rsid w:val="00A81CD8"/>
    <w:rsid w:val="00A8211B"/>
    <w:rsid w:val="00A8219D"/>
    <w:rsid w:val="00A838F3"/>
    <w:rsid w:val="00A83E0B"/>
    <w:rsid w:val="00A84958"/>
    <w:rsid w:val="00A849A8"/>
    <w:rsid w:val="00A854B4"/>
    <w:rsid w:val="00A85FE8"/>
    <w:rsid w:val="00A86780"/>
    <w:rsid w:val="00A86E7D"/>
    <w:rsid w:val="00A918A7"/>
    <w:rsid w:val="00A9227B"/>
    <w:rsid w:val="00A9266A"/>
    <w:rsid w:val="00A92B18"/>
    <w:rsid w:val="00A92F05"/>
    <w:rsid w:val="00A93458"/>
    <w:rsid w:val="00A938CA"/>
    <w:rsid w:val="00A9612B"/>
    <w:rsid w:val="00A96EB2"/>
    <w:rsid w:val="00A970CD"/>
    <w:rsid w:val="00A97EFE"/>
    <w:rsid w:val="00AA1242"/>
    <w:rsid w:val="00AA2978"/>
    <w:rsid w:val="00AA2DB1"/>
    <w:rsid w:val="00AA39C3"/>
    <w:rsid w:val="00AA4ECD"/>
    <w:rsid w:val="00AA5C24"/>
    <w:rsid w:val="00AA6348"/>
    <w:rsid w:val="00AA705F"/>
    <w:rsid w:val="00AA70BA"/>
    <w:rsid w:val="00AA7833"/>
    <w:rsid w:val="00AA7CF1"/>
    <w:rsid w:val="00AA7F61"/>
    <w:rsid w:val="00AB0D8B"/>
    <w:rsid w:val="00AB191B"/>
    <w:rsid w:val="00AB1F3D"/>
    <w:rsid w:val="00AB5255"/>
    <w:rsid w:val="00AB546E"/>
    <w:rsid w:val="00AB6953"/>
    <w:rsid w:val="00AC0BEF"/>
    <w:rsid w:val="00AC0FF1"/>
    <w:rsid w:val="00AC13CE"/>
    <w:rsid w:val="00AC1552"/>
    <w:rsid w:val="00AC2CDC"/>
    <w:rsid w:val="00AC38F0"/>
    <w:rsid w:val="00AC3E8C"/>
    <w:rsid w:val="00AC40C9"/>
    <w:rsid w:val="00AC4984"/>
    <w:rsid w:val="00AC6330"/>
    <w:rsid w:val="00AC7680"/>
    <w:rsid w:val="00AC7B32"/>
    <w:rsid w:val="00AD2652"/>
    <w:rsid w:val="00AD27A4"/>
    <w:rsid w:val="00AD2908"/>
    <w:rsid w:val="00AD3165"/>
    <w:rsid w:val="00AD4E7C"/>
    <w:rsid w:val="00AD58DB"/>
    <w:rsid w:val="00AD6D3A"/>
    <w:rsid w:val="00AD6DD9"/>
    <w:rsid w:val="00AD7805"/>
    <w:rsid w:val="00AE18BE"/>
    <w:rsid w:val="00AE1EF7"/>
    <w:rsid w:val="00AE22F3"/>
    <w:rsid w:val="00AE2D7E"/>
    <w:rsid w:val="00AE36EF"/>
    <w:rsid w:val="00AE3F2E"/>
    <w:rsid w:val="00AE5C00"/>
    <w:rsid w:val="00AE6175"/>
    <w:rsid w:val="00AE6C0E"/>
    <w:rsid w:val="00AE7787"/>
    <w:rsid w:val="00AE7ADF"/>
    <w:rsid w:val="00AF0DB3"/>
    <w:rsid w:val="00AF106F"/>
    <w:rsid w:val="00AF27FA"/>
    <w:rsid w:val="00AF29FC"/>
    <w:rsid w:val="00AF2FB0"/>
    <w:rsid w:val="00AF35A6"/>
    <w:rsid w:val="00AF3818"/>
    <w:rsid w:val="00AF3B7B"/>
    <w:rsid w:val="00AF47BB"/>
    <w:rsid w:val="00AF555D"/>
    <w:rsid w:val="00AF5A95"/>
    <w:rsid w:val="00AF7C42"/>
    <w:rsid w:val="00B00400"/>
    <w:rsid w:val="00B00944"/>
    <w:rsid w:val="00B00EB2"/>
    <w:rsid w:val="00B01525"/>
    <w:rsid w:val="00B03E3D"/>
    <w:rsid w:val="00B04FA9"/>
    <w:rsid w:val="00B05B57"/>
    <w:rsid w:val="00B05E13"/>
    <w:rsid w:val="00B0751B"/>
    <w:rsid w:val="00B0755D"/>
    <w:rsid w:val="00B07686"/>
    <w:rsid w:val="00B11254"/>
    <w:rsid w:val="00B13556"/>
    <w:rsid w:val="00B1375B"/>
    <w:rsid w:val="00B140FD"/>
    <w:rsid w:val="00B1480F"/>
    <w:rsid w:val="00B14AEB"/>
    <w:rsid w:val="00B15D32"/>
    <w:rsid w:val="00B15F89"/>
    <w:rsid w:val="00B170F1"/>
    <w:rsid w:val="00B20094"/>
    <w:rsid w:val="00B2059E"/>
    <w:rsid w:val="00B21387"/>
    <w:rsid w:val="00B24ECC"/>
    <w:rsid w:val="00B25E22"/>
    <w:rsid w:val="00B271D6"/>
    <w:rsid w:val="00B30906"/>
    <w:rsid w:val="00B319F4"/>
    <w:rsid w:val="00B3256E"/>
    <w:rsid w:val="00B329B6"/>
    <w:rsid w:val="00B33072"/>
    <w:rsid w:val="00B3390A"/>
    <w:rsid w:val="00B33EB8"/>
    <w:rsid w:val="00B36006"/>
    <w:rsid w:val="00B36047"/>
    <w:rsid w:val="00B36670"/>
    <w:rsid w:val="00B368A9"/>
    <w:rsid w:val="00B3743C"/>
    <w:rsid w:val="00B40037"/>
    <w:rsid w:val="00B40259"/>
    <w:rsid w:val="00B41107"/>
    <w:rsid w:val="00B41126"/>
    <w:rsid w:val="00B41AB2"/>
    <w:rsid w:val="00B41D57"/>
    <w:rsid w:val="00B427B8"/>
    <w:rsid w:val="00B429E4"/>
    <w:rsid w:val="00B4327A"/>
    <w:rsid w:val="00B45441"/>
    <w:rsid w:val="00B5067C"/>
    <w:rsid w:val="00B50BE7"/>
    <w:rsid w:val="00B50E1D"/>
    <w:rsid w:val="00B52142"/>
    <w:rsid w:val="00B52287"/>
    <w:rsid w:val="00B528A3"/>
    <w:rsid w:val="00B532EF"/>
    <w:rsid w:val="00B535AB"/>
    <w:rsid w:val="00B542CD"/>
    <w:rsid w:val="00B54B79"/>
    <w:rsid w:val="00B56564"/>
    <w:rsid w:val="00B5671C"/>
    <w:rsid w:val="00B56736"/>
    <w:rsid w:val="00B567F7"/>
    <w:rsid w:val="00B56DE8"/>
    <w:rsid w:val="00B571E7"/>
    <w:rsid w:val="00B57814"/>
    <w:rsid w:val="00B6075B"/>
    <w:rsid w:val="00B60DA7"/>
    <w:rsid w:val="00B61FED"/>
    <w:rsid w:val="00B64B7D"/>
    <w:rsid w:val="00B64F13"/>
    <w:rsid w:val="00B6596F"/>
    <w:rsid w:val="00B65F31"/>
    <w:rsid w:val="00B6663F"/>
    <w:rsid w:val="00B66FE7"/>
    <w:rsid w:val="00B67019"/>
    <w:rsid w:val="00B67D8F"/>
    <w:rsid w:val="00B67E87"/>
    <w:rsid w:val="00B711B2"/>
    <w:rsid w:val="00B71F43"/>
    <w:rsid w:val="00B72712"/>
    <w:rsid w:val="00B768FB"/>
    <w:rsid w:val="00B76AB7"/>
    <w:rsid w:val="00B76FF0"/>
    <w:rsid w:val="00B76FF7"/>
    <w:rsid w:val="00B80487"/>
    <w:rsid w:val="00B8068C"/>
    <w:rsid w:val="00B808F4"/>
    <w:rsid w:val="00B80F2E"/>
    <w:rsid w:val="00B81B93"/>
    <w:rsid w:val="00B82ED0"/>
    <w:rsid w:val="00B84031"/>
    <w:rsid w:val="00B845EA"/>
    <w:rsid w:val="00B86B1A"/>
    <w:rsid w:val="00B870EF"/>
    <w:rsid w:val="00B87180"/>
    <w:rsid w:val="00B876F4"/>
    <w:rsid w:val="00B92543"/>
    <w:rsid w:val="00B92B8A"/>
    <w:rsid w:val="00B92DF0"/>
    <w:rsid w:val="00B9310D"/>
    <w:rsid w:val="00B94CF4"/>
    <w:rsid w:val="00B95858"/>
    <w:rsid w:val="00B95BF1"/>
    <w:rsid w:val="00B9637A"/>
    <w:rsid w:val="00B97516"/>
    <w:rsid w:val="00B975E0"/>
    <w:rsid w:val="00BA0276"/>
    <w:rsid w:val="00BA05DC"/>
    <w:rsid w:val="00BA13B6"/>
    <w:rsid w:val="00BA13D4"/>
    <w:rsid w:val="00BA15A0"/>
    <w:rsid w:val="00BA1C1C"/>
    <w:rsid w:val="00BA227A"/>
    <w:rsid w:val="00BA22A1"/>
    <w:rsid w:val="00BA3311"/>
    <w:rsid w:val="00BA4745"/>
    <w:rsid w:val="00BA5060"/>
    <w:rsid w:val="00BA56A3"/>
    <w:rsid w:val="00BB0C37"/>
    <w:rsid w:val="00BB1526"/>
    <w:rsid w:val="00BB15B0"/>
    <w:rsid w:val="00BB1A6E"/>
    <w:rsid w:val="00BB1BE8"/>
    <w:rsid w:val="00BB1D73"/>
    <w:rsid w:val="00BB2433"/>
    <w:rsid w:val="00BB39A5"/>
    <w:rsid w:val="00BB3CE3"/>
    <w:rsid w:val="00BB3E2E"/>
    <w:rsid w:val="00BB435B"/>
    <w:rsid w:val="00BB461A"/>
    <w:rsid w:val="00BB4A6F"/>
    <w:rsid w:val="00BB68A4"/>
    <w:rsid w:val="00BB74C4"/>
    <w:rsid w:val="00BB7B95"/>
    <w:rsid w:val="00BC0D7A"/>
    <w:rsid w:val="00BC41FA"/>
    <w:rsid w:val="00BC4458"/>
    <w:rsid w:val="00BC4747"/>
    <w:rsid w:val="00BC5E95"/>
    <w:rsid w:val="00BC6E27"/>
    <w:rsid w:val="00BC7A79"/>
    <w:rsid w:val="00BC7DBE"/>
    <w:rsid w:val="00BD072A"/>
    <w:rsid w:val="00BD171D"/>
    <w:rsid w:val="00BD20DF"/>
    <w:rsid w:val="00BD327A"/>
    <w:rsid w:val="00BD5009"/>
    <w:rsid w:val="00BD50BC"/>
    <w:rsid w:val="00BD57F5"/>
    <w:rsid w:val="00BD5B13"/>
    <w:rsid w:val="00BD5DAB"/>
    <w:rsid w:val="00BD63E5"/>
    <w:rsid w:val="00BD67C4"/>
    <w:rsid w:val="00BD6AD7"/>
    <w:rsid w:val="00BD6F20"/>
    <w:rsid w:val="00BD75B4"/>
    <w:rsid w:val="00BE0D94"/>
    <w:rsid w:val="00BE11ED"/>
    <w:rsid w:val="00BE16A9"/>
    <w:rsid w:val="00BE18D4"/>
    <w:rsid w:val="00BE2167"/>
    <w:rsid w:val="00BE239A"/>
    <w:rsid w:val="00BE3F16"/>
    <w:rsid w:val="00BE48A4"/>
    <w:rsid w:val="00BE56F0"/>
    <w:rsid w:val="00BE5757"/>
    <w:rsid w:val="00BE7774"/>
    <w:rsid w:val="00BF1455"/>
    <w:rsid w:val="00BF1985"/>
    <w:rsid w:val="00BF238E"/>
    <w:rsid w:val="00BF2A1B"/>
    <w:rsid w:val="00BF2D67"/>
    <w:rsid w:val="00BF4728"/>
    <w:rsid w:val="00BF4AD6"/>
    <w:rsid w:val="00BF68D5"/>
    <w:rsid w:val="00BF78B5"/>
    <w:rsid w:val="00BF78E5"/>
    <w:rsid w:val="00BF7FD4"/>
    <w:rsid w:val="00C000C1"/>
    <w:rsid w:val="00C0218B"/>
    <w:rsid w:val="00C022E5"/>
    <w:rsid w:val="00C04200"/>
    <w:rsid w:val="00C074F5"/>
    <w:rsid w:val="00C07855"/>
    <w:rsid w:val="00C07E68"/>
    <w:rsid w:val="00C11056"/>
    <w:rsid w:val="00C11116"/>
    <w:rsid w:val="00C118DA"/>
    <w:rsid w:val="00C119D9"/>
    <w:rsid w:val="00C11A68"/>
    <w:rsid w:val="00C11B65"/>
    <w:rsid w:val="00C12654"/>
    <w:rsid w:val="00C12D35"/>
    <w:rsid w:val="00C1342C"/>
    <w:rsid w:val="00C154F6"/>
    <w:rsid w:val="00C15503"/>
    <w:rsid w:val="00C16708"/>
    <w:rsid w:val="00C174F2"/>
    <w:rsid w:val="00C176D4"/>
    <w:rsid w:val="00C17A6B"/>
    <w:rsid w:val="00C2022B"/>
    <w:rsid w:val="00C27A23"/>
    <w:rsid w:val="00C27A3F"/>
    <w:rsid w:val="00C27A7D"/>
    <w:rsid w:val="00C32681"/>
    <w:rsid w:val="00C346E7"/>
    <w:rsid w:val="00C35146"/>
    <w:rsid w:val="00C3614B"/>
    <w:rsid w:val="00C36EDA"/>
    <w:rsid w:val="00C372B3"/>
    <w:rsid w:val="00C40D88"/>
    <w:rsid w:val="00C42C37"/>
    <w:rsid w:val="00C454C5"/>
    <w:rsid w:val="00C4599C"/>
    <w:rsid w:val="00C45D16"/>
    <w:rsid w:val="00C45DD8"/>
    <w:rsid w:val="00C45F65"/>
    <w:rsid w:val="00C465B1"/>
    <w:rsid w:val="00C46608"/>
    <w:rsid w:val="00C468B7"/>
    <w:rsid w:val="00C47620"/>
    <w:rsid w:val="00C47B6B"/>
    <w:rsid w:val="00C501A3"/>
    <w:rsid w:val="00C519DD"/>
    <w:rsid w:val="00C51CEC"/>
    <w:rsid w:val="00C52CEA"/>
    <w:rsid w:val="00C53CA3"/>
    <w:rsid w:val="00C546D7"/>
    <w:rsid w:val="00C549F3"/>
    <w:rsid w:val="00C555D5"/>
    <w:rsid w:val="00C57905"/>
    <w:rsid w:val="00C57D85"/>
    <w:rsid w:val="00C601E6"/>
    <w:rsid w:val="00C6039C"/>
    <w:rsid w:val="00C60ADA"/>
    <w:rsid w:val="00C6139B"/>
    <w:rsid w:val="00C630F4"/>
    <w:rsid w:val="00C64AAE"/>
    <w:rsid w:val="00C65B05"/>
    <w:rsid w:val="00C67D2A"/>
    <w:rsid w:val="00C70947"/>
    <w:rsid w:val="00C70F8B"/>
    <w:rsid w:val="00C73EA9"/>
    <w:rsid w:val="00C744D2"/>
    <w:rsid w:val="00C747B9"/>
    <w:rsid w:val="00C74A9A"/>
    <w:rsid w:val="00C75326"/>
    <w:rsid w:val="00C77BF4"/>
    <w:rsid w:val="00C814F5"/>
    <w:rsid w:val="00C81569"/>
    <w:rsid w:val="00C8298E"/>
    <w:rsid w:val="00C83667"/>
    <w:rsid w:val="00C85711"/>
    <w:rsid w:val="00C85884"/>
    <w:rsid w:val="00C859D7"/>
    <w:rsid w:val="00C86066"/>
    <w:rsid w:val="00C86997"/>
    <w:rsid w:val="00C86D91"/>
    <w:rsid w:val="00C87543"/>
    <w:rsid w:val="00C87735"/>
    <w:rsid w:val="00C901A9"/>
    <w:rsid w:val="00C903BC"/>
    <w:rsid w:val="00C91CF7"/>
    <w:rsid w:val="00C92645"/>
    <w:rsid w:val="00C9280C"/>
    <w:rsid w:val="00C933F0"/>
    <w:rsid w:val="00C93980"/>
    <w:rsid w:val="00C93BBE"/>
    <w:rsid w:val="00C9423E"/>
    <w:rsid w:val="00C94A9B"/>
    <w:rsid w:val="00C94D67"/>
    <w:rsid w:val="00C94D8C"/>
    <w:rsid w:val="00C95DFE"/>
    <w:rsid w:val="00C9743E"/>
    <w:rsid w:val="00C97F66"/>
    <w:rsid w:val="00CA02E2"/>
    <w:rsid w:val="00CA0A63"/>
    <w:rsid w:val="00CA2000"/>
    <w:rsid w:val="00CA2930"/>
    <w:rsid w:val="00CA2966"/>
    <w:rsid w:val="00CA31C7"/>
    <w:rsid w:val="00CA3C5A"/>
    <w:rsid w:val="00CA4C49"/>
    <w:rsid w:val="00CA5B10"/>
    <w:rsid w:val="00CA5C33"/>
    <w:rsid w:val="00CB09F5"/>
    <w:rsid w:val="00CB0CAF"/>
    <w:rsid w:val="00CB148D"/>
    <w:rsid w:val="00CB191D"/>
    <w:rsid w:val="00CB1BCB"/>
    <w:rsid w:val="00CB2B00"/>
    <w:rsid w:val="00CB2DD2"/>
    <w:rsid w:val="00CB58EC"/>
    <w:rsid w:val="00CB6381"/>
    <w:rsid w:val="00CB738D"/>
    <w:rsid w:val="00CB74DA"/>
    <w:rsid w:val="00CB7918"/>
    <w:rsid w:val="00CC040E"/>
    <w:rsid w:val="00CC116C"/>
    <w:rsid w:val="00CC3E15"/>
    <w:rsid w:val="00CC54E3"/>
    <w:rsid w:val="00CC5B1D"/>
    <w:rsid w:val="00CC6110"/>
    <w:rsid w:val="00CC677A"/>
    <w:rsid w:val="00CD02F7"/>
    <w:rsid w:val="00CD0B90"/>
    <w:rsid w:val="00CD1941"/>
    <w:rsid w:val="00CD231D"/>
    <w:rsid w:val="00CD325A"/>
    <w:rsid w:val="00CD42AF"/>
    <w:rsid w:val="00CD4724"/>
    <w:rsid w:val="00CD5131"/>
    <w:rsid w:val="00CD520B"/>
    <w:rsid w:val="00CD6F91"/>
    <w:rsid w:val="00CE02F9"/>
    <w:rsid w:val="00CE04A1"/>
    <w:rsid w:val="00CE0EDD"/>
    <w:rsid w:val="00CE13C9"/>
    <w:rsid w:val="00CE1FF5"/>
    <w:rsid w:val="00CE2545"/>
    <w:rsid w:val="00CE340F"/>
    <w:rsid w:val="00CE399E"/>
    <w:rsid w:val="00CE3E58"/>
    <w:rsid w:val="00CE4F2C"/>
    <w:rsid w:val="00CE6244"/>
    <w:rsid w:val="00CE67C5"/>
    <w:rsid w:val="00CE6D95"/>
    <w:rsid w:val="00CE74A0"/>
    <w:rsid w:val="00CE765E"/>
    <w:rsid w:val="00CF080D"/>
    <w:rsid w:val="00CF1D8F"/>
    <w:rsid w:val="00CF4643"/>
    <w:rsid w:val="00CF49FA"/>
    <w:rsid w:val="00CF55EB"/>
    <w:rsid w:val="00CF5856"/>
    <w:rsid w:val="00CF62C1"/>
    <w:rsid w:val="00CF639A"/>
    <w:rsid w:val="00CF6DB6"/>
    <w:rsid w:val="00CF7311"/>
    <w:rsid w:val="00CF7766"/>
    <w:rsid w:val="00D001E2"/>
    <w:rsid w:val="00D006C1"/>
    <w:rsid w:val="00D007EA"/>
    <w:rsid w:val="00D018F4"/>
    <w:rsid w:val="00D02C4F"/>
    <w:rsid w:val="00D02F4D"/>
    <w:rsid w:val="00D03799"/>
    <w:rsid w:val="00D03F68"/>
    <w:rsid w:val="00D04B9B"/>
    <w:rsid w:val="00D04E61"/>
    <w:rsid w:val="00D04F3B"/>
    <w:rsid w:val="00D05B45"/>
    <w:rsid w:val="00D05D80"/>
    <w:rsid w:val="00D061A6"/>
    <w:rsid w:val="00D06AAD"/>
    <w:rsid w:val="00D07950"/>
    <w:rsid w:val="00D10635"/>
    <w:rsid w:val="00D120B5"/>
    <w:rsid w:val="00D12B46"/>
    <w:rsid w:val="00D12F7D"/>
    <w:rsid w:val="00D1447F"/>
    <w:rsid w:val="00D14A46"/>
    <w:rsid w:val="00D16849"/>
    <w:rsid w:val="00D16FE3"/>
    <w:rsid w:val="00D20B8E"/>
    <w:rsid w:val="00D21168"/>
    <w:rsid w:val="00D2119B"/>
    <w:rsid w:val="00D225F8"/>
    <w:rsid w:val="00D22C25"/>
    <w:rsid w:val="00D2343B"/>
    <w:rsid w:val="00D25254"/>
    <w:rsid w:val="00D25923"/>
    <w:rsid w:val="00D26420"/>
    <w:rsid w:val="00D26429"/>
    <w:rsid w:val="00D26777"/>
    <w:rsid w:val="00D27475"/>
    <w:rsid w:val="00D27567"/>
    <w:rsid w:val="00D27886"/>
    <w:rsid w:val="00D279DB"/>
    <w:rsid w:val="00D279DD"/>
    <w:rsid w:val="00D32409"/>
    <w:rsid w:val="00D341D5"/>
    <w:rsid w:val="00D3426E"/>
    <w:rsid w:val="00D3429C"/>
    <w:rsid w:val="00D35F38"/>
    <w:rsid w:val="00D365F0"/>
    <w:rsid w:val="00D36BCE"/>
    <w:rsid w:val="00D37A1F"/>
    <w:rsid w:val="00D40309"/>
    <w:rsid w:val="00D40414"/>
    <w:rsid w:val="00D418A6"/>
    <w:rsid w:val="00D41D9C"/>
    <w:rsid w:val="00D433DA"/>
    <w:rsid w:val="00D436C3"/>
    <w:rsid w:val="00D4415A"/>
    <w:rsid w:val="00D4517B"/>
    <w:rsid w:val="00D45B93"/>
    <w:rsid w:val="00D46C92"/>
    <w:rsid w:val="00D500C1"/>
    <w:rsid w:val="00D509B4"/>
    <w:rsid w:val="00D51A17"/>
    <w:rsid w:val="00D51CD5"/>
    <w:rsid w:val="00D525B8"/>
    <w:rsid w:val="00D53178"/>
    <w:rsid w:val="00D53484"/>
    <w:rsid w:val="00D535F0"/>
    <w:rsid w:val="00D53BD4"/>
    <w:rsid w:val="00D544F6"/>
    <w:rsid w:val="00D55479"/>
    <w:rsid w:val="00D5581D"/>
    <w:rsid w:val="00D56163"/>
    <w:rsid w:val="00D5628B"/>
    <w:rsid w:val="00D56792"/>
    <w:rsid w:val="00D573EC"/>
    <w:rsid w:val="00D57CC7"/>
    <w:rsid w:val="00D60629"/>
    <w:rsid w:val="00D61484"/>
    <w:rsid w:val="00D62568"/>
    <w:rsid w:val="00D629C6"/>
    <w:rsid w:val="00D64D30"/>
    <w:rsid w:val="00D67460"/>
    <w:rsid w:val="00D679D5"/>
    <w:rsid w:val="00D709D7"/>
    <w:rsid w:val="00D710F2"/>
    <w:rsid w:val="00D71F69"/>
    <w:rsid w:val="00D72353"/>
    <w:rsid w:val="00D7519C"/>
    <w:rsid w:val="00D75619"/>
    <w:rsid w:val="00D75CEE"/>
    <w:rsid w:val="00D77457"/>
    <w:rsid w:val="00D778DC"/>
    <w:rsid w:val="00D80754"/>
    <w:rsid w:val="00D80BFE"/>
    <w:rsid w:val="00D80C6B"/>
    <w:rsid w:val="00D81154"/>
    <w:rsid w:val="00D82172"/>
    <w:rsid w:val="00D84F0E"/>
    <w:rsid w:val="00D87DF5"/>
    <w:rsid w:val="00D90184"/>
    <w:rsid w:val="00D9109C"/>
    <w:rsid w:val="00D91294"/>
    <w:rsid w:val="00D91D95"/>
    <w:rsid w:val="00D92520"/>
    <w:rsid w:val="00D92567"/>
    <w:rsid w:val="00D928A0"/>
    <w:rsid w:val="00D9408D"/>
    <w:rsid w:val="00D955DF"/>
    <w:rsid w:val="00D9595F"/>
    <w:rsid w:val="00D9699C"/>
    <w:rsid w:val="00D970DB"/>
    <w:rsid w:val="00D97C51"/>
    <w:rsid w:val="00DA11A8"/>
    <w:rsid w:val="00DA18A2"/>
    <w:rsid w:val="00DA1C6A"/>
    <w:rsid w:val="00DA23D6"/>
    <w:rsid w:val="00DA34A5"/>
    <w:rsid w:val="00DA3BC2"/>
    <w:rsid w:val="00DA4450"/>
    <w:rsid w:val="00DA468D"/>
    <w:rsid w:val="00DA49BD"/>
    <w:rsid w:val="00DA4EEF"/>
    <w:rsid w:val="00DA5222"/>
    <w:rsid w:val="00DA57B8"/>
    <w:rsid w:val="00DA5A82"/>
    <w:rsid w:val="00DA6458"/>
    <w:rsid w:val="00DA6673"/>
    <w:rsid w:val="00DA6851"/>
    <w:rsid w:val="00DA72BE"/>
    <w:rsid w:val="00DA7DA7"/>
    <w:rsid w:val="00DB0449"/>
    <w:rsid w:val="00DB06A3"/>
    <w:rsid w:val="00DB09DA"/>
    <w:rsid w:val="00DB0E82"/>
    <w:rsid w:val="00DB24B0"/>
    <w:rsid w:val="00DB2864"/>
    <w:rsid w:val="00DB324F"/>
    <w:rsid w:val="00DB3CD4"/>
    <w:rsid w:val="00DB64F6"/>
    <w:rsid w:val="00DB7DCC"/>
    <w:rsid w:val="00DC12A8"/>
    <w:rsid w:val="00DC1A15"/>
    <w:rsid w:val="00DC1B05"/>
    <w:rsid w:val="00DC2314"/>
    <w:rsid w:val="00DC2CE9"/>
    <w:rsid w:val="00DC3280"/>
    <w:rsid w:val="00DC44C8"/>
    <w:rsid w:val="00DC54A6"/>
    <w:rsid w:val="00DC56C6"/>
    <w:rsid w:val="00DC5B0B"/>
    <w:rsid w:val="00DC67A2"/>
    <w:rsid w:val="00DC6A2A"/>
    <w:rsid w:val="00DC6D97"/>
    <w:rsid w:val="00DD07C4"/>
    <w:rsid w:val="00DD221E"/>
    <w:rsid w:val="00DD222E"/>
    <w:rsid w:val="00DD2545"/>
    <w:rsid w:val="00DD2BCC"/>
    <w:rsid w:val="00DD33A3"/>
    <w:rsid w:val="00DD4286"/>
    <w:rsid w:val="00DD4EB8"/>
    <w:rsid w:val="00DD5F80"/>
    <w:rsid w:val="00DD709C"/>
    <w:rsid w:val="00DD720C"/>
    <w:rsid w:val="00DE0D75"/>
    <w:rsid w:val="00DE1A7B"/>
    <w:rsid w:val="00DE2224"/>
    <w:rsid w:val="00DE2DB2"/>
    <w:rsid w:val="00DE40DB"/>
    <w:rsid w:val="00DE4722"/>
    <w:rsid w:val="00DE4A25"/>
    <w:rsid w:val="00DE4D94"/>
    <w:rsid w:val="00DE5362"/>
    <w:rsid w:val="00DE5A56"/>
    <w:rsid w:val="00DF07E9"/>
    <w:rsid w:val="00DF0F83"/>
    <w:rsid w:val="00DF1ED0"/>
    <w:rsid w:val="00DF2370"/>
    <w:rsid w:val="00DF2F8D"/>
    <w:rsid w:val="00DF335E"/>
    <w:rsid w:val="00DF33DE"/>
    <w:rsid w:val="00DF35EC"/>
    <w:rsid w:val="00DF40B6"/>
    <w:rsid w:val="00DF681A"/>
    <w:rsid w:val="00E0229A"/>
    <w:rsid w:val="00E0307D"/>
    <w:rsid w:val="00E030E1"/>
    <w:rsid w:val="00E03EB8"/>
    <w:rsid w:val="00E05282"/>
    <w:rsid w:val="00E0564D"/>
    <w:rsid w:val="00E05FA4"/>
    <w:rsid w:val="00E077CE"/>
    <w:rsid w:val="00E07A58"/>
    <w:rsid w:val="00E07AA0"/>
    <w:rsid w:val="00E10F68"/>
    <w:rsid w:val="00E13585"/>
    <w:rsid w:val="00E1384E"/>
    <w:rsid w:val="00E13F19"/>
    <w:rsid w:val="00E147FE"/>
    <w:rsid w:val="00E15123"/>
    <w:rsid w:val="00E16032"/>
    <w:rsid w:val="00E16F62"/>
    <w:rsid w:val="00E171F5"/>
    <w:rsid w:val="00E1792C"/>
    <w:rsid w:val="00E20ABF"/>
    <w:rsid w:val="00E215A8"/>
    <w:rsid w:val="00E2215D"/>
    <w:rsid w:val="00E224F4"/>
    <w:rsid w:val="00E226C9"/>
    <w:rsid w:val="00E23B3A"/>
    <w:rsid w:val="00E24427"/>
    <w:rsid w:val="00E24429"/>
    <w:rsid w:val="00E24A3C"/>
    <w:rsid w:val="00E24BA5"/>
    <w:rsid w:val="00E25034"/>
    <w:rsid w:val="00E251CB"/>
    <w:rsid w:val="00E265E5"/>
    <w:rsid w:val="00E274A5"/>
    <w:rsid w:val="00E2753F"/>
    <w:rsid w:val="00E27815"/>
    <w:rsid w:val="00E303AF"/>
    <w:rsid w:val="00E3098D"/>
    <w:rsid w:val="00E30B37"/>
    <w:rsid w:val="00E31A43"/>
    <w:rsid w:val="00E32AEA"/>
    <w:rsid w:val="00E33C9F"/>
    <w:rsid w:val="00E3434A"/>
    <w:rsid w:val="00E34E32"/>
    <w:rsid w:val="00E3665F"/>
    <w:rsid w:val="00E367CE"/>
    <w:rsid w:val="00E379ED"/>
    <w:rsid w:val="00E4088B"/>
    <w:rsid w:val="00E41F2B"/>
    <w:rsid w:val="00E42517"/>
    <w:rsid w:val="00E426CB"/>
    <w:rsid w:val="00E429C3"/>
    <w:rsid w:val="00E431F9"/>
    <w:rsid w:val="00E434B7"/>
    <w:rsid w:val="00E436E1"/>
    <w:rsid w:val="00E439D0"/>
    <w:rsid w:val="00E44394"/>
    <w:rsid w:val="00E44B75"/>
    <w:rsid w:val="00E44C27"/>
    <w:rsid w:val="00E456AF"/>
    <w:rsid w:val="00E45F21"/>
    <w:rsid w:val="00E460C9"/>
    <w:rsid w:val="00E46B44"/>
    <w:rsid w:val="00E47953"/>
    <w:rsid w:val="00E50C4A"/>
    <w:rsid w:val="00E515C5"/>
    <w:rsid w:val="00E543BC"/>
    <w:rsid w:val="00E55064"/>
    <w:rsid w:val="00E5678B"/>
    <w:rsid w:val="00E56844"/>
    <w:rsid w:val="00E57618"/>
    <w:rsid w:val="00E60D87"/>
    <w:rsid w:val="00E61DBA"/>
    <w:rsid w:val="00E622F1"/>
    <w:rsid w:val="00E62AE8"/>
    <w:rsid w:val="00E62FC5"/>
    <w:rsid w:val="00E6380C"/>
    <w:rsid w:val="00E63914"/>
    <w:rsid w:val="00E63AF5"/>
    <w:rsid w:val="00E64459"/>
    <w:rsid w:val="00E6447B"/>
    <w:rsid w:val="00E64616"/>
    <w:rsid w:val="00E65431"/>
    <w:rsid w:val="00E67CA5"/>
    <w:rsid w:val="00E67D80"/>
    <w:rsid w:val="00E703CC"/>
    <w:rsid w:val="00E706AD"/>
    <w:rsid w:val="00E711A1"/>
    <w:rsid w:val="00E71569"/>
    <w:rsid w:val="00E71C01"/>
    <w:rsid w:val="00E71E8F"/>
    <w:rsid w:val="00E740E9"/>
    <w:rsid w:val="00E74A99"/>
    <w:rsid w:val="00E7518A"/>
    <w:rsid w:val="00E753E3"/>
    <w:rsid w:val="00E766C9"/>
    <w:rsid w:val="00E772C3"/>
    <w:rsid w:val="00E77AA5"/>
    <w:rsid w:val="00E8121B"/>
    <w:rsid w:val="00E8121C"/>
    <w:rsid w:val="00E8150F"/>
    <w:rsid w:val="00E81FF0"/>
    <w:rsid w:val="00E826E8"/>
    <w:rsid w:val="00E83AB8"/>
    <w:rsid w:val="00E83EE3"/>
    <w:rsid w:val="00E84F06"/>
    <w:rsid w:val="00E84FB4"/>
    <w:rsid w:val="00E85B9C"/>
    <w:rsid w:val="00E8727F"/>
    <w:rsid w:val="00E900FC"/>
    <w:rsid w:val="00E9179E"/>
    <w:rsid w:val="00E92551"/>
    <w:rsid w:val="00E93853"/>
    <w:rsid w:val="00E949E0"/>
    <w:rsid w:val="00E961B5"/>
    <w:rsid w:val="00E97485"/>
    <w:rsid w:val="00E974EC"/>
    <w:rsid w:val="00E97BD9"/>
    <w:rsid w:val="00EA0802"/>
    <w:rsid w:val="00EA0BCB"/>
    <w:rsid w:val="00EA1D92"/>
    <w:rsid w:val="00EA1F1D"/>
    <w:rsid w:val="00EA2C6B"/>
    <w:rsid w:val="00EA3129"/>
    <w:rsid w:val="00EA4120"/>
    <w:rsid w:val="00EA4297"/>
    <w:rsid w:val="00EA48D1"/>
    <w:rsid w:val="00EA4CE4"/>
    <w:rsid w:val="00EA5260"/>
    <w:rsid w:val="00EA5FC3"/>
    <w:rsid w:val="00EA67A3"/>
    <w:rsid w:val="00EA74AC"/>
    <w:rsid w:val="00EA75E7"/>
    <w:rsid w:val="00EA7CCC"/>
    <w:rsid w:val="00EA7CFD"/>
    <w:rsid w:val="00EA7D61"/>
    <w:rsid w:val="00EA7EE6"/>
    <w:rsid w:val="00EB025B"/>
    <w:rsid w:val="00EB184C"/>
    <w:rsid w:val="00EB1CE3"/>
    <w:rsid w:val="00EB1F88"/>
    <w:rsid w:val="00EB2873"/>
    <w:rsid w:val="00EB2AA3"/>
    <w:rsid w:val="00EB53F6"/>
    <w:rsid w:val="00EB5A8C"/>
    <w:rsid w:val="00EB5B62"/>
    <w:rsid w:val="00EB65F6"/>
    <w:rsid w:val="00EB7A34"/>
    <w:rsid w:val="00EC0FFE"/>
    <w:rsid w:val="00EC150E"/>
    <w:rsid w:val="00EC1E59"/>
    <w:rsid w:val="00EC202D"/>
    <w:rsid w:val="00EC235C"/>
    <w:rsid w:val="00EC2918"/>
    <w:rsid w:val="00EC4D29"/>
    <w:rsid w:val="00EC5D71"/>
    <w:rsid w:val="00EC65F1"/>
    <w:rsid w:val="00EC6D2E"/>
    <w:rsid w:val="00EC7F1A"/>
    <w:rsid w:val="00ED0462"/>
    <w:rsid w:val="00ED0570"/>
    <w:rsid w:val="00ED0697"/>
    <w:rsid w:val="00ED0DBF"/>
    <w:rsid w:val="00ED261C"/>
    <w:rsid w:val="00ED4188"/>
    <w:rsid w:val="00ED4206"/>
    <w:rsid w:val="00ED4C06"/>
    <w:rsid w:val="00ED714C"/>
    <w:rsid w:val="00ED7A49"/>
    <w:rsid w:val="00ED7FDD"/>
    <w:rsid w:val="00EE03E8"/>
    <w:rsid w:val="00EE0A87"/>
    <w:rsid w:val="00EE0DC4"/>
    <w:rsid w:val="00EE2165"/>
    <w:rsid w:val="00EE2878"/>
    <w:rsid w:val="00EE2C14"/>
    <w:rsid w:val="00EE2E22"/>
    <w:rsid w:val="00EE3C88"/>
    <w:rsid w:val="00EE53D7"/>
    <w:rsid w:val="00EE6931"/>
    <w:rsid w:val="00EE6FCE"/>
    <w:rsid w:val="00EE7D86"/>
    <w:rsid w:val="00EF0557"/>
    <w:rsid w:val="00EF16EF"/>
    <w:rsid w:val="00EF1BD3"/>
    <w:rsid w:val="00EF24D5"/>
    <w:rsid w:val="00EF2EB8"/>
    <w:rsid w:val="00EF3427"/>
    <w:rsid w:val="00EF50DE"/>
    <w:rsid w:val="00EF6D59"/>
    <w:rsid w:val="00EF705B"/>
    <w:rsid w:val="00F010A7"/>
    <w:rsid w:val="00F03073"/>
    <w:rsid w:val="00F0335D"/>
    <w:rsid w:val="00F038B0"/>
    <w:rsid w:val="00F03BF2"/>
    <w:rsid w:val="00F03C8C"/>
    <w:rsid w:val="00F045BA"/>
    <w:rsid w:val="00F05935"/>
    <w:rsid w:val="00F05B0F"/>
    <w:rsid w:val="00F0608E"/>
    <w:rsid w:val="00F06A14"/>
    <w:rsid w:val="00F07647"/>
    <w:rsid w:val="00F104FB"/>
    <w:rsid w:val="00F108C7"/>
    <w:rsid w:val="00F10D15"/>
    <w:rsid w:val="00F10D67"/>
    <w:rsid w:val="00F115E7"/>
    <w:rsid w:val="00F11865"/>
    <w:rsid w:val="00F11A0B"/>
    <w:rsid w:val="00F136A2"/>
    <w:rsid w:val="00F13EF0"/>
    <w:rsid w:val="00F1439D"/>
    <w:rsid w:val="00F14ADF"/>
    <w:rsid w:val="00F1515E"/>
    <w:rsid w:val="00F1646E"/>
    <w:rsid w:val="00F1697D"/>
    <w:rsid w:val="00F16B4B"/>
    <w:rsid w:val="00F1740F"/>
    <w:rsid w:val="00F17E84"/>
    <w:rsid w:val="00F229A1"/>
    <w:rsid w:val="00F23053"/>
    <w:rsid w:val="00F2346E"/>
    <w:rsid w:val="00F247F3"/>
    <w:rsid w:val="00F25C14"/>
    <w:rsid w:val="00F27368"/>
    <w:rsid w:val="00F2743B"/>
    <w:rsid w:val="00F275DD"/>
    <w:rsid w:val="00F27656"/>
    <w:rsid w:val="00F30147"/>
    <w:rsid w:val="00F306C9"/>
    <w:rsid w:val="00F30EB6"/>
    <w:rsid w:val="00F325AD"/>
    <w:rsid w:val="00F32D8A"/>
    <w:rsid w:val="00F35100"/>
    <w:rsid w:val="00F36A44"/>
    <w:rsid w:val="00F40015"/>
    <w:rsid w:val="00F40870"/>
    <w:rsid w:val="00F428FD"/>
    <w:rsid w:val="00F42D18"/>
    <w:rsid w:val="00F43E8E"/>
    <w:rsid w:val="00F44537"/>
    <w:rsid w:val="00F44F7D"/>
    <w:rsid w:val="00F470D0"/>
    <w:rsid w:val="00F502DD"/>
    <w:rsid w:val="00F5077A"/>
    <w:rsid w:val="00F507E8"/>
    <w:rsid w:val="00F51A45"/>
    <w:rsid w:val="00F51C44"/>
    <w:rsid w:val="00F5326A"/>
    <w:rsid w:val="00F54D02"/>
    <w:rsid w:val="00F55D8C"/>
    <w:rsid w:val="00F5641A"/>
    <w:rsid w:val="00F57265"/>
    <w:rsid w:val="00F5776C"/>
    <w:rsid w:val="00F60123"/>
    <w:rsid w:val="00F61986"/>
    <w:rsid w:val="00F61E68"/>
    <w:rsid w:val="00F61F79"/>
    <w:rsid w:val="00F62B83"/>
    <w:rsid w:val="00F62DAC"/>
    <w:rsid w:val="00F642C8"/>
    <w:rsid w:val="00F647F5"/>
    <w:rsid w:val="00F64972"/>
    <w:rsid w:val="00F65D11"/>
    <w:rsid w:val="00F66078"/>
    <w:rsid w:val="00F66E27"/>
    <w:rsid w:val="00F7083C"/>
    <w:rsid w:val="00F7229B"/>
    <w:rsid w:val="00F73F6E"/>
    <w:rsid w:val="00F74840"/>
    <w:rsid w:val="00F74BDD"/>
    <w:rsid w:val="00F761A6"/>
    <w:rsid w:val="00F8052D"/>
    <w:rsid w:val="00F81A42"/>
    <w:rsid w:val="00F81ECD"/>
    <w:rsid w:val="00F8270F"/>
    <w:rsid w:val="00F82922"/>
    <w:rsid w:val="00F86700"/>
    <w:rsid w:val="00F873E3"/>
    <w:rsid w:val="00F87586"/>
    <w:rsid w:val="00F878A5"/>
    <w:rsid w:val="00F93105"/>
    <w:rsid w:val="00F9334C"/>
    <w:rsid w:val="00F93A8C"/>
    <w:rsid w:val="00F93CC7"/>
    <w:rsid w:val="00F94F67"/>
    <w:rsid w:val="00F95179"/>
    <w:rsid w:val="00F956E3"/>
    <w:rsid w:val="00F957C6"/>
    <w:rsid w:val="00F95EFD"/>
    <w:rsid w:val="00F962AF"/>
    <w:rsid w:val="00F9637B"/>
    <w:rsid w:val="00F96AD3"/>
    <w:rsid w:val="00F97EDE"/>
    <w:rsid w:val="00FA16BA"/>
    <w:rsid w:val="00FA374C"/>
    <w:rsid w:val="00FA393F"/>
    <w:rsid w:val="00FA3EDA"/>
    <w:rsid w:val="00FA595E"/>
    <w:rsid w:val="00FB0B73"/>
    <w:rsid w:val="00FB0BDB"/>
    <w:rsid w:val="00FB0C50"/>
    <w:rsid w:val="00FB1D04"/>
    <w:rsid w:val="00FB23FC"/>
    <w:rsid w:val="00FB2682"/>
    <w:rsid w:val="00FB2AF5"/>
    <w:rsid w:val="00FB2B9B"/>
    <w:rsid w:val="00FB3F3D"/>
    <w:rsid w:val="00FB4CB4"/>
    <w:rsid w:val="00FB52C3"/>
    <w:rsid w:val="00FB5624"/>
    <w:rsid w:val="00FB57D6"/>
    <w:rsid w:val="00FB597B"/>
    <w:rsid w:val="00FB63E2"/>
    <w:rsid w:val="00FB6881"/>
    <w:rsid w:val="00FB7D5E"/>
    <w:rsid w:val="00FB7F93"/>
    <w:rsid w:val="00FBAEAA"/>
    <w:rsid w:val="00FC08F7"/>
    <w:rsid w:val="00FC0AAE"/>
    <w:rsid w:val="00FC1820"/>
    <w:rsid w:val="00FC300E"/>
    <w:rsid w:val="00FC51B1"/>
    <w:rsid w:val="00FC6AC3"/>
    <w:rsid w:val="00FC7248"/>
    <w:rsid w:val="00FC76A0"/>
    <w:rsid w:val="00FD0A8F"/>
    <w:rsid w:val="00FD16EA"/>
    <w:rsid w:val="00FD20A5"/>
    <w:rsid w:val="00FD2C22"/>
    <w:rsid w:val="00FD3B7C"/>
    <w:rsid w:val="00FD5065"/>
    <w:rsid w:val="00FD5928"/>
    <w:rsid w:val="00FD5C97"/>
    <w:rsid w:val="00FD6A61"/>
    <w:rsid w:val="00FD7558"/>
    <w:rsid w:val="00FE0409"/>
    <w:rsid w:val="00FE2C7F"/>
    <w:rsid w:val="00FE3127"/>
    <w:rsid w:val="00FE37D2"/>
    <w:rsid w:val="00FE5BC3"/>
    <w:rsid w:val="00FE6B14"/>
    <w:rsid w:val="00FE77C5"/>
    <w:rsid w:val="00FF019F"/>
    <w:rsid w:val="00FF0369"/>
    <w:rsid w:val="00FF0B71"/>
    <w:rsid w:val="00FF0E01"/>
    <w:rsid w:val="00FF1304"/>
    <w:rsid w:val="00FF1B0C"/>
    <w:rsid w:val="00FF1D58"/>
    <w:rsid w:val="00FF2C7D"/>
    <w:rsid w:val="00FF2E58"/>
    <w:rsid w:val="00FF732C"/>
    <w:rsid w:val="00FF75BA"/>
    <w:rsid w:val="014FBEE9"/>
    <w:rsid w:val="016C21AC"/>
    <w:rsid w:val="018861DF"/>
    <w:rsid w:val="01934A4E"/>
    <w:rsid w:val="01BE48AE"/>
    <w:rsid w:val="0265AF50"/>
    <w:rsid w:val="026FE7AD"/>
    <w:rsid w:val="027C35A8"/>
    <w:rsid w:val="02940102"/>
    <w:rsid w:val="02FE0EA7"/>
    <w:rsid w:val="0300839F"/>
    <w:rsid w:val="03374DC1"/>
    <w:rsid w:val="03387A34"/>
    <w:rsid w:val="035F0FFD"/>
    <w:rsid w:val="038D5370"/>
    <w:rsid w:val="03B47DD6"/>
    <w:rsid w:val="03C0A258"/>
    <w:rsid w:val="03CF1D5E"/>
    <w:rsid w:val="03DC5214"/>
    <w:rsid w:val="03E77313"/>
    <w:rsid w:val="040A6648"/>
    <w:rsid w:val="047F7AED"/>
    <w:rsid w:val="04A852CE"/>
    <w:rsid w:val="04A984AB"/>
    <w:rsid w:val="04CA810C"/>
    <w:rsid w:val="04D62AB6"/>
    <w:rsid w:val="04DF75E2"/>
    <w:rsid w:val="05375186"/>
    <w:rsid w:val="0555FC3E"/>
    <w:rsid w:val="059386B2"/>
    <w:rsid w:val="05D1A3A2"/>
    <w:rsid w:val="062A41A1"/>
    <w:rsid w:val="06B5C316"/>
    <w:rsid w:val="06BC6AE2"/>
    <w:rsid w:val="06C614AB"/>
    <w:rsid w:val="06CB1444"/>
    <w:rsid w:val="06CF5C14"/>
    <w:rsid w:val="06DA5AB0"/>
    <w:rsid w:val="06FB625E"/>
    <w:rsid w:val="071FE67D"/>
    <w:rsid w:val="0739ED08"/>
    <w:rsid w:val="073AF433"/>
    <w:rsid w:val="0761CE1B"/>
    <w:rsid w:val="08094E2E"/>
    <w:rsid w:val="0815483B"/>
    <w:rsid w:val="08367B3D"/>
    <w:rsid w:val="08650BAC"/>
    <w:rsid w:val="086EE5B7"/>
    <w:rsid w:val="08756CA5"/>
    <w:rsid w:val="08814F62"/>
    <w:rsid w:val="08BD0976"/>
    <w:rsid w:val="08CA5507"/>
    <w:rsid w:val="08F5B242"/>
    <w:rsid w:val="091C2201"/>
    <w:rsid w:val="09557C8B"/>
    <w:rsid w:val="0956F3D3"/>
    <w:rsid w:val="0960C094"/>
    <w:rsid w:val="09688C50"/>
    <w:rsid w:val="0972A3C8"/>
    <w:rsid w:val="097F98C7"/>
    <w:rsid w:val="09859AD3"/>
    <w:rsid w:val="09D10C56"/>
    <w:rsid w:val="09DE92FE"/>
    <w:rsid w:val="0A20D1A4"/>
    <w:rsid w:val="0A36877E"/>
    <w:rsid w:val="0A39256B"/>
    <w:rsid w:val="0A57873F"/>
    <w:rsid w:val="0A6A0BB4"/>
    <w:rsid w:val="0A70C135"/>
    <w:rsid w:val="0A8BEC68"/>
    <w:rsid w:val="0B06ADD8"/>
    <w:rsid w:val="0B09208C"/>
    <w:rsid w:val="0B0CDA6C"/>
    <w:rsid w:val="0B272D1F"/>
    <w:rsid w:val="0B368BFD"/>
    <w:rsid w:val="0B84240E"/>
    <w:rsid w:val="0BC27FF7"/>
    <w:rsid w:val="0BC5E842"/>
    <w:rsid w:val="0BE57DD1"/>
    <w:rsid w:val="0BFA1D16"/>
    <w:rsid w:val="0C27BCC9"/>
    <w:rsid w:val="0C2D6B3C"/>
    <w:rsid w:val="0C5C8396"/>
    <w:rsid w:val="0CC65C88"/>
    <w:rsid w:val="0D1934B5"/>
    <w:rsid w:val="0D3BB5C2"/>
    <w:rsid w:val="0D3EDBDB"/>
    <w:rsid w:val="0D98B3E0"/>
    <w:rsid w:val="0D9EB5CE"/>
    <w:rsid w:val="0DB1FE8F"/>
    <w:rsid w:val="0DC87F74"/>
    <w:rsid w:val="0DC9D5E4"/>
    <w:rsid w:val="0DD7A41C"/>
    <w:rsid w:val="0E0FF0CD"/>
    <w:rsid w:val="0E4F3514"/>
    <w:rsid w:val="0E553421"/>
    <w:rsid w:val="0EB93C30"/>
    <w:rsid w:val="0EBB4C2C"/>
    <w:rsid w:val="0EFF3008"/>
    <w:rsid w:val="0F152A04"/>
    <w:rsid w:val="0F2F2B73"/>
    <w:rsid w:val="0F3076D2"/>
    <w:rsid w:val="0F36E4CB"/>
    <w:rsid w:val="0F40B359"/>
    <w:rsid w:val="0F6BCC2D"/>
    <w:rsid w:val="0FCA68C0"/>
    <w:rsid w:val="0FD9E773"/>
    <w:rsid w:val="0FF79FDA"/>
    <w:rsid w:val="0FFD41F0"/>
    <w:rsid w:val="1027257D"/>
    <w:rsid w:val="103DECB3"/>
    <w:rsid w:val="104C49A1"/>
    <w:rsid w:val="10571C8D"/>
    <w:rsid w:val="1062DDCC"/>
    <w:rsid w:val="1071574F"/>
    <w:rsid w:val="107D6148"/>
    <w:rsid w:val="10A3A7BE"/>
    <w:rsid w:val="10C6266A"/>
    <w:rsid w:val="10C8C3C5"/>
    <w:rsid w:val="10D9B919"/>
    <w:rsid w:val="10E4AA50"/>
    <w:rsid w:val="110CA050"/>
    <w:rsid w:val="112D8ECD"/>
    <w:rsid w:val="11353EDB"/>
    <w:rsid w:val="11396CC0"/>
    <w:rsid w:val="11597341"/>
    <w:rsid w:val="1192921A"/>
    <w:rsid w:val="11A4BD58"/>
    <w:rsid w:val="11AABE3C"/>
    <w:rsid w:val="11C8F5C6"/>
    <w:rsid w:val="1203268E"/>
    <w:rsid w:val="12360CB8"/>
    <w:rsid w:val="12455716"/>
    <w:rsid w:val="125D3AB4"/>
    <w:rsid w:val="127CE14D"/>
    <w:rsid w:val="127D1220"/>
    <w:rsid w:val="129EBC35"/>
    <w:rsid w:val="12C9413B"/>
    <w:rsid w:val="12F89760"/>
    <w:rsid w:val="130318EF"/>
    <w:rsid w:val="131D2455"/>
    <w:rsid w:val="132DF121"/>
    <w:rsid w:val="13307D84"/>
    <w:rsid w:val="135898BF"/>
    <w:rsid w:val="135CE229"/>
    <w:rsid w:val="136C5C93"/>
    <w:rsid w:val="13731272"/>
    <w:rsid w:val="13B0C1FA"/>
    <w:rsid w:val="13B775CD"/>
    <w:rsid w:val="13F7A565"/>
    <w:rsid w:val="13FABD88"/>
    <w:rsid w:val="14582E68"/>
    <w:rsid w:val="14638F92"/>
    <w:rsid w:val="147040E4"/>
    <w:rsid w:val="14802262"/>
    <w:rsid w:val="149A11FB"/>
    <w:rsid w:val="14F23E11"/>
    <w:rsid w:val="154C1FCC"/>
    <w:rsid w:val="15677B99"/>
    <w:rsid w:val="15681D60"/>
    <w:rsid w:val="156FFEEB"/>
    <w:rsid w:val="157F50DB"/>
    <w:rsid w:val="159C2812"/>
    <w:rsid w:val="159FB77E"/>
    <w:rsid w:val="15B7D7E8"/>
    <w:rsid w:val="15F71B91"/>
    <w:rsid w:val="1602F29F"/>
    <w:rsid w:val="1655ED93"/>
    <w:rsid w:val="16685CF1"/>
    <w:rsid w:val="166E6039"/>
    <w:rsid w:val="167CC22C"/>
    <w:rsid w:val="169BAC05"/>
    <w:rsid w:val="16B472DA"/>
    <w:rsid w:val="16D0BFFB"/>
    <w:rsid w:val="16FBE004"/>
    <w:rsid w:val="17732784"/>
    <w:rsid w:val="17859AA3"/>
    <w:rsid w:val="17B730B0"/>
    <w:rsid w:val="17C2406C"/>
    <w:rsid w:val="17C9C8CB"/>
    <w:rsid w:val="17D4B82C"/>
    <w:rsid w:val="17EFBCC0"/>
    <w:rsid w:val="1810F647"/>
    <w:rsid w:val="1828B5DD"/>
    <w:rsid w:val="18356782"/>
    <w:rsid w:val="184BD275"/>
    <w:rsid w:val="1850C1DF"/>
    <w:rsid w:val="18820E1F"/>
    <w:rsid w:val="1882F211"/>
    <w:rsid w:val="18A45C1D"/>
    <w:rsid w:val="18B5DAAA"/>
    <w:rsid w:val="1900561C"/>
    <w:rsid w:val="191D2B85"/>
    <w:rsid w:val="1923B6D6"/>
    <w:rsid w:val="193D8CA1"/>
    <w:rsid w:val="198AD938"/>
    <w:rsid w:val="19A1CD2D"/>
    <w:rsid w:val="19BEB5BF"/>
    <w:rsid w:val="19D99BDC"/>
    <w:rsid w:val="1A0E3873"/>
    <w:rsid w:val="1A121CF4"/>
    <w:rsid w:val="1A1AF9D9"/>
    <w:rsid w:val="1A3530C8"/>
    <w:rsid w:val="1A3A3245"/>
    <w:rsid w:val="1A43F327"/>
    <w:rsid w:val="1A5C7032"/>
    <w:rsid w:val="1A70F6F2"/>
    <w:rsid w:val="1A9C267D"/>
    <w:rsid w:val="1ACA7F25"/>
    <w:rsid w:val="1ACC206B"/>
    <w:rsid w:val="1ACCC8A9"/>
    <w:rsid w:val="1AE60C47"/>
    <w:rsid w:val="1AFD9DF6"/>
    <w:rsid w:val="1B1853E2"/>
    <w:rsid w:val="1B210A94"/>
    <w:rsid w:val="1B3D9D8E"/>
    <w:rsid w:val="1C336EEA"/>
    <w:rsid w:val="1C34DB43"/>
    <w:rsid w:val="1C37F6DE"/>
    <w:rsid w:val="1C4BF74C"/>
    <w:rsid w:val="1C54D39F"/>
    <w:rsid w:val="1C720BEA"/>
    <w:rsid w:val="1C883AA7"/>
    <w:rsid w:val="1CAEFADB"/>
    <w:rsid w:val="1CFD4FF6"/>
    <w:rsid w:val="1D2B2715"/>
    <w:rsid w:val="1D717795"/>
    <w:rsid w:val="1D9410F4"/>
    <w:rsid w:val="1DA7FDB0"/>
    <w:rsid w:val="1DBED8CF"/>
    <w:rsid w:val="1DC0EC09"/>
    <w:rsid w:val="1DD7D8F3"/>
    <w:rsid w:val="1E24A9BD"/>
    <w:rsid w:val="1E35E65B"/>
    <w:rsid w:val="1E399C28"/>
    <w:rsid w:val="1E427A0F"/>
    <w:rsid w:val="1E6A34D3"/>
    <w:rsid w:val="1E797CB4"/>
    <w:rsid w:val="1E95CBA2"/>
    <w:rsid w:val="1E992057"/>
    <w:rsid w:val="1ECF7A8B"/>
    <w:rsid w:val="1EE3D9B2"/>
    <w:rsid w:val="1EF1F4A3"/>
    <w:rsid w:val="1F026629"/>
    <w:rsid w:val="1F32CCF7"/>
    <w:rsid w:val="1F392F8F"/>
    <w:rsid w:val="1F5658BB"/>
    <w:rsid w:val="1F635631"/>
    <w:rsid w:val="1F6B0FAC"/>
    <w:rsid w:val="1F6DCB5C"/>
    <w:rsid w:val="1FA860FA"/>
    <w:rsid w:val="1FB808F5"/>
    <w:rsid w:val="1FE517BB"/>
    <w:rsid w:val="2005E864"/>
    <w:rsid w:val="201C9687"/>
    <w:rsid w:val="202828C4"/>
    <w:rsid w:val="20642BEB"/>
    <w:rsid w:val="207AAA37"/>
    <w:rsid w:val="2082E67C"/>
    <w:rsid w:val="2083C611"/>
    <w:rsid w:val="20846F7B"/>
    <w:rsid w:val="20898B4D"/>
    <w:rsid w:val="2090580C"/>
    <w:rsid w:val="209DA63A"/>
    <w:rsid w:val="20A07DFE"/>
    <w:rsid w:val="20D85BB2"/>
    <w:rsid w:val="20E27C13"/>
    <w:rsid w:val="20E694CC"/>
    <w:rsid w:val="210D4494"/>
    <w:rsid w:val="2122C41A"/>
    <w:rsid w:val="216D871D"/>
    <w:rsid w:val="2186AF7A"/>
    <w:rsid w:val="218BBEC9"/>
    <w:rsid w:val="21AA95A8"/>
    <w:rsid w:val="220AA34E"/>
    <w:rsid w:val="220CCE7D"/>
    <w:rsid w:val="22B3C5CB"/>
    <w:rsid w:val="22F074D9"/>
    <w:rsid w:val="2332F237"/>
    <w:rsid w:val="233E3439"/>
    <w:rsid w:val="235EFB6C"/>
    <w:rsid w:val="23602BBA"/>
    <w:rsid w:val="23602C8B"/>
    <w:rsid w:val="2394671A"/>
    <w:rsid w:val="239FE8EB"/>
    <w:rsid w:val="23A35996"/>
    <w:rsid w:val="23A412B3"/>
    <w:rsid w:val="23D1A5EE"/>
    <w:rsid w:val="24075BED"/>
    <w:rsid w:val="24222CC7"/>
    <w:rsid w:val="2469CEB3"/>
    <w:rsid w:val="2504E0BF"/>
    <w:rsid w:val="2538BCFD"/>
    <w:rsid w:val="253B750C"/>
    <w:rsid w:val="2545E03A"/>
    <w:rsid w:val="254CABD3"/>
    <w:rsid w:val="25532A31"/>
    <w:rsid w:val="255F03DB"/>
    <w:rsid w:val="256325DB"/>
    <w:rsid w:val="257F786D"/>
    <w:rsid w:val="2582D568"/>
    <w:rsid w:val="259BDFFF"/>
    <w:rsid w:val="25D4677B"/>
    <w:rsid w:val="25D72E7E"/>
    <w:rsid w:val="25E83357"/>
    <w:rsid w:val="2620ED58"/>
    <w:rsid w:val="26564095"/>
    <w:rsid w:val="265D3B61"/>
    <w:rsid w:val="265F2FEC"/>
    <w:rsid w:val="26A342B7"/>
    <w:rsid w:val="26B47851"/>
    <w:rsid w:val="26BF5D6F"/>
    <w:rsid w:val="26E1CDE5"/>
    <w:rsid w:val="270946B0"/>
    <w:rsid w:val="271E089C"/>
    <w:rsid w:val="271E6D95"/>
    <w:rsid w:val="274247FF"/>
    <w:rsid w:val="275967D5"/>
    <w:rsid w:val="27A16F75"/>
    <w:rsid w:val="27B4114F"/>
    <w:rsid w:val="27CC5338"/>
    <w:rsid w:val="27D29199"/>
    <w:rsid w:val="27F5AB72"/>
    <w:rsid w:val="280DE61B"/>
    <w:rsid w:val="282A2D3E"/>
    <w:rsid w:val="283E0F1B"/>
    <w:rsid w:val="28409529"/>
    <w:rsid w:val="2847F023"/>
    <w:rsid w:val="284FCBEB"/>
    <w:rsid w:val="2856E7D0"/>
    <w:rsid w:val="28735094"/>
    <w:rsid w:val="28B20662"/>
    <w:rsid w:val="28D08B94"/>
    <w:rsid w:val="2924347B"/>
    <w:rsid w:val="293A37D4"/>
    <w:rsid w:val="294ED8E5"/>
    <w:rsid w:val="29718577"/>
    <w:rsid w:val="297825EF"/>
    <w:rsid w:val="297D2216"/>
    <w:rsid w:val="298DE157"/>
    <w:rsid w:val="299FAB4B"/>
    <w:rsid w:val="29B2B2D7"/>
    <w:rsid w:val="29E0B9BB"/>
    <w:rsid w:val="29E171F8"/>
    <w:rsid w:val="29E74BDF"/>
    <w:rsid w:val="29FCEAAF"/>
    <w:rsid w:val="2A17E543"/>
    <w:rsid w:val="2A29C3AF"/>
    <w:rsid w:val="2A35B91F"/>
    <w:rsid w:val="2A379747"/>
    <w:rsid w:val="2A3B1BFB"/>
    <w:rsid w:val="2A470B79"/>
    <w:rsid w:val="2A63F035"/>
    <w:rsid w:val="2A798905"/>
    <w:rsid w:val="2A8E4C6E"/>
    <w:rsid w:val="2AA0C098"/>
    <w:rsid w:val="2AA32210"/>
    <w:rsid w:val="2ABA0B55"/>
    <w:rsid w:val="2B04B10C"/>
    <w:rsid w:val="2B0D1D6D"/>
    <w:rsid w:val="2B0D31E6"/>
    <w:rsid w:val="2B5A6348"/>
    <w:rsid w:val="2B7F90E5"/>
    <w:rsid w:val="2B86FB3D"/>
    <w:rsid w:val="2BA9780D"/>
    <w:rsid w:val="2BF864F1"/>
    <w:rsid w:val="2C11C8F4"/>
    <w:rsid w:val="2C323B99"/>
    <w:rsid w:val="2C3C90F9"/>
    <w:rsid w:val="2C517090"/>
    <w:rsid w:val="2C55DECD"/>
    <w:rsid w:val="2C56B489"/>
    <w:rsid w:val="2C62E16C"/>
    <w:rsid w:val="2C9609AF"/>
    <w:rsid w:val="2CAD42F0"/>
    <w:rsid w:val="2CC58219"/>
    <w:rsid w:val="2CD69CF9"/>
    <w:rsid w:val="2CFE84D2"/>
    <w:rsid w:val="2D0FE74F"/>
    <w:rsid w:val="2D3BFC87"/>
    <w:rsid w:val="2D3E6E18"/>
    <w:rsid w:val="2D5DBEBE"/>
    <w:rsid w:val="2D705468"/>
    <w:rsid w:val="2D903806"/>
    <w:rsid w:val="2DB60D85"/>
    <w:rsid w:val="2DBF8C5D"/>
    <w:rsid w:val="2DDD8CBB"/>
    <w:rsid w:val="2DF03965"/>
    <w:rsid w:val="2E1D7115"/>
    <w:rsid w:val="2E45F571"/>
    <w:rsid w:val="2E6EFC0A"/>
    <w:rsid w:val="2E81797D"/>
    <w:rsid w:val="2EAF972F"/>
    <w:rsid w:val="2EE85DAB"/>
    <w:rsid w:val="2F442336"/>
    <w:rsid w:val="2F645854"/>
    <w:rsid w:val="2F8C09C6"/>
    <w:rsid w:val="2F94686E"/>
    <w:rsid w:val="2FA86473"/>
    <w:rsid w:val="2FB1671A"/>
    <w:rsid w:val="2FBE24E6"/>
    <w:rsid w:val="2FDA8C36"/>
    <w:rsid w:val="2FDE105D"/>
    <w:rsid w:val="2FE14429"/>
    <w:rsid w:val="2FFD22DB"/>
    <w:rsid w:val="30007CC5"/>
    <w:rsid w:val="3014B1B5"/>
    <w:rsid w:val="301D984B"/>
    <w:rsid w:val="30311D8D"/>
    <w:rsid w:val="30654396"/>
    <w:rsid w:val="30892F51"/>
    <w:rsid w:val="30BC8E4B"/>
    <w:rsid w:val="30ECC79F"/>
    <w:rsid w:val="30EF81AF"/>
    <w:rsid w:val="30EF9628"/>
    <w:rsid w:val="310E40F3"/>
    <w:rsid w:val="312D4A77"/>
    <w:rsid w:val="313D1CA0"/>
    <w:rsid w:val="31487A28"/>
    <w:rsid w:val="316A15EC"/>
    <w:rsid w:val="317D9633"/>
    <w:rsid w:val="318F623C"/>
    <w:rsid w:val="31957975"/>
    <w:rsid w:val="3198F33C"/>
    <w:rsid w:val="31A754C1"/>
    <w:rsid w:val="31AF9827"/>
    <w:rsid w:val="31B9339E"/>
    <w:rsid w:val="31CAF3AB"/>
    <w:rsid w:val="31F54754"/>
    <w:rsid w:val="31F90AC6"/>
    <w:rsid w:val="323530D2"/>
    <w:rsid w:val="324F0FB7"/>
    <w:rsid w:val="3278E8E8"/>
    <w:rsid w:val="328731C0"/>
    <w:rsid w:val="32B2770E"/>
    <w:rsid w:val="32C17F79"/>
    <w:rsid w:val="32D3E65C"/>
    <w:rsid w:val="32DAA7D6"/>
    <w:rsid w:val="3330CC90"/>
    <w:rsid w:val="33A5CBC5"/>
    <w:rsid w:val="33B38BDC"/>
    <w:rsid w:val="33D23407"/>
    <w:rsid w:val="33ED920B"/>
    <w:rsid w:val="34133E3B"/>
    <w:rsid w:val="344B9C08"/>
    <w:rsid w:val="345D842B"/>
    <w:rsid w:val="347D63CA"/>
    <w:rsid w:val="3480F88E"/>
    <w:rsid w:val="34885C7B"/>
    <w:rsid w:val="348C62FD"/>
    <w:rsid w:val="34C3392F"/>
    <w:rsid w:val="34DDDC9A"/>
    <w:rsid w:val="34E7F692"/>
    <w:rsid w:val="34FFABCB"/>
    <w:rsid w:val="3564B040"/>
    <w:rsid w:val="35724337"/>
    <w:rsid w:val="358C7D3E"/>
    <w:rsid w:val="359B06A6"/>
    <w:rsid w:val="35AF0E9C"/>
    <w:rsid w:val="35B089AA"/>
    <w:rsid w:val="35C250D1"/>
    <w:rsid w:val="35C55A86"/>
    <w:rsid w:val="35E3F610"/>
    <w:rsid w:val="35F4C40B"/>
    <w:rsid w:val="3608C31F"/>
    <w:rsid w:val="360F2869"/>
    <w:rsid w:val="36242CDC"/>
    <w:rsid w:val="363209E9"/>
    <w:rsid w:val="3671DF53"/>
    <w:rsid w:val="367AEC7C"/>
    <w:rsid w:val="36B30182"/>
    <w:rsid w:val="36BCA7DD"/>
    <w:rsid w:val="36C2438C"/>
    <w:rsid w:val="36F0AC6C"/>
    <w:rsid w:val="36F588EF"/>
    <w:rsid w:val="37120A87"/>
    <w:rsid w:val="372501DD"/>
    <w:rsid w:val="373EF9B6"/>
    <w:rsid w:val="374C5A0B"/>
    <w:rsid w:val="378D55C3"/>
    <w:rsid w:val="37928F9A"/>
    <w:rsid w:val="3798BAD5"/>
    <w:rsid w:val="37A2F332"/>
    <w:rsid w:val="37CB3877"/>
    <w:rsid w:val="37E516D9"/>
    <w:rsid w:val="3816BEEF"/>
    <w:rsid w:val="3859DA85"/>
    <w:rsid w:val="3882C3FE"/>
    <w:rsid w:val="38833A77"/>
    <w:rsid w:val="38BD863B"/>
    <w:rsid w:val="38BF84C7"/>
    <w:rsid w:val="38DD6411"/>
    <w:rsid w:val="391AE106"/>
    <w:rsid w:val="392E5FFB"/>
    <w:rsid w:val="393008C1"/>
    <w:rsid w:val="399421CC"/>
    <w:rsid w:val="3999B37C"/>
    <w:rsid w:val="399A601F"/>
    <w:rsid w:val="399D4FBE"/>
    <w:rsid w:val="39A608ED"/>
    <w:rsid w:val="39AB4504"/>
    <w:rsid w:val="39B8B7D0"/>
    <w:rsid w:val="39CADBFA"/>
    <w:rsid w:val="39D284CB"/>
    <w:rsid w:val="3A056C02"/>
    <w:rsid w:val="3A2B60E0"/>
    <w:rsid w:val="3A6E135B"/>
    <w:rsid w:val="3A89EB62"/>
    <w:rsid w:val="3A8DD962"/>
    <w:rsid w:val="3A9676DE"/>
    <w:rsid w:val="3ACBF3F9"/>
    <w:rsid w:val="3AFB488E"/>
    <w:rsid w:val="3B2E6ACC"/>
    <w:rsid w:val="3B3AF5DD"/>
    <w:rsid w:val="3B46F7DA"/>
    <w:rsid w:val="3B66AC5B"/>
    <w:rsid w:val="3B7D5583"/>
    <w:rsid w:val="3B981D1A"/>
    <w:rsid w:val="3BA13C63"/>
    <w:rsid w:val="3BB32ECE"/>
    <w:rsid w:val="3BC89CEA"/>
    <w:rsid w:val="3BF1CD92"/>
    <w:rsid w:val="3BF8A3A8"/>
    <w:rsid w:val="3BFE3396"/>
    <w:rsid w:val="3C011EAD"/>
    <w:rsid w:val="3C036073"/>
    <w:rsid w:val="3C04E809"/>
    <w:rsid w:val="3C06BE12"/>
    <w:rsid w:val="3C111A67"/>
    <w:rsid w:val="3C644A05"/>
    <w:rsid w:val="3C6BB4BD"/>
    <w:rsid w:val="3C74BD22"/>
    <w:rsid w:val="3C949448"/>
    <w:rsid w:val="3C9B74F0"/>
    <w:rsid w:val="3CDDA958"/>
    <w:rsid w:val="3CE39369"/>
    <w:rsid w:val="3D05DEF1"/>
    <w:rsid w:val="3D23C595"/>
    <w:rsid w:val="3D47CE54"/>
    <w:rsid w:val="3D4A5587"/>
    <w:rsid w:val="3D64CA73"/>
    <w:rsid w:val="3D89F51D"/>
    <w:rsid w:val="3D93D804"/>
    <w:rsid w:val="3D9E89C3"/>
    <w:rsid w:val="3E001A66"/>
    <w:rsid w:val="3E171011"/>
    <w:rsid w:val="3E3C07FB"/>
    <w:rsid w:val="3E9E4D1D"/>
    <w:rsid w:val="3EAC2F1A"/>
    <w:rsid w:val="3ED8DD25"/>
    <w:rsid w:val="3F2301B4"/>
    <w:rsid w:val="3F2884F9"/>
    <w:rsid w:val="3F4A19B7"/>
    <w:rsid w:val="3F4A2F0E"/>
    <w:rsid w:val="3F65B4C8"/>
    <w:rsid w:val="3F6B6E6E"/>
    <w:rsid w:val="3FA39742"/>
    <w:rsid w:val="3FAEF7AF"/>
    <w:rsid w:val="3FB378B6"/>
    <w:rsid w:val="3FB3E1F4"/>
    <w:rsid w:val="402E2F15"/>
    <w:rsid w:val="4079FD39"/>
    <w:rsid w:val="40C6412D"/>
    <w:rsid w:val="40D61777"/>
    <w:rsid w:val="40E4ABC2"/>
    <w:rsid w:val="4111B952"/>
    <w:rsid w:val="414B33A1"/>
    <w:rsid w:val="4185E919"/>
    <w:rsid w:val="41C9728B"/>
    <w:rsid w:val="41D5EDDF"/>
    <w:rsid w:val="4255EC85"/>
    <w:rsid w:val="425E2113"/>
    <w:rsid w:val="42606151"/>
    <w:rsid w:val="4278BF65"/>
    <w:rsid w:val="428572C9"/>
    <w:rsid w:val="42867AFE"/>
    <w:rsid w:val="4286D2C3"/>
    <w:rsid w:val="42BA632C"/>
    <w:rsid w:val="42F870B3"/>
    <w:rsid w:val="43081B2C"/>
    <w:rsid w:val="43238F5A"/>
    <w:rsid w:val="4331A5A4"/>
    <w:rsid w:val="43454375"/>
    <w:rsid w:val="43483383"/>
    <w:rsid w:val="434D507E"/>
    <w:rsid w:val="43682C3A"/>
    <w:rsid w:val="4380FD32"/>
    <w:rsid w:val="4384073A"/>
    <w:rsid w:val="4391187D"/>
    <w:rsid w:val="43B73547"/>
    <w:rsid w:val="43BDF97E"/>
    <w:rsid w:val="43C12919"/>
    <w:rsid w:val="43E7E39F"/>
    <w:rsid w:val="44386BE3"/>
    <w:rsid w:val="443925EB"/>
    <w:rsid w:val="4451A94A"/>
    <w:rsid w:val="445857C5"/>
    <w:rsid w:val="445D9E45"/>
    <w:rsid w:val="446E148E"/>
    <w:rsid w:val="4479129E"/>
    <w:rsid w:val="44A3B08B"/>
    <w:rsid w:val="44ADEA09"/>
    <w:rsid w:val="44D31768"/>
    <w:rsid w:val="44E920DF"/>
    <w:rsid w:val="44F0DC0A"/>
    <w:rsid w:val="452CE8DE"/>
    <w:rsid w:val="4545A970"/>
    <w:rsid w:val="45491070"/>
    <w:rsid w:val="45500C2F"/>
    <w:rsid w:val="456E6DD4"/>
    <w:rsid w:val="457F6F31"/>
    <w:rsid w:val="458BA1AD"/>
    <w:rsid w:val="45A515DC"/>
    <w:rsid w:val="45AC6225"/>
    <w:rsid w:val="45BD3E05"/>
    <w:rsid w:val="45CE9AFA"/>
    <w:rsid w:val="45D85627"/>
    <w:rsid w:val="45DC7E30"/>
    <w:rsid w:val="45DD39CF"/>
    <w:rsid w:val="45E76E23"/>
    <w:rsid w:val="45F32616"/>
    <w:rsid w:val="465FBACA"/>
    <w:rsid w:val="4671C9D9"/>
    <w:rsid w:val="467E2689"/>
    <w:rsid w:val="467FE262"/>
    <w:rsid w:val="46C7361D"/>
    <w:rsid w:val="46FA337E"/>
    <w:rsid w:val="473C033F"/>
    <w:rsid w:val="473E2524"/>
    <w:rsid w:val="477EE70F"/>
    <w:rsid w:val="4799C7F6"/>
    <w:rsid w:val="47A1D782"/>
    <w:rsid w:val="47ACF379"/>
    <w:rsid w:val="47D5595D"/>
    <w:rsid w:val="47F94932"/>
    <w:rsid w:val="47F9E5D3"/>
    <w:rsid w:val="4817F190"/>
    <w:rsid w:val="48412D1C"/>
    <w:rsid w:val="486A03A9"/>
    <w:rsid w:val="489E3E27"/>
    <w:rsid w:val="48C11E1E"/>
    <w:rsid w:val="48D4FA4D"/>
    <w:rsid w:val="48DEDC63"/>
    <w:rsid w:val="48EE561C"/>
    <w:rsid w:val="490D56E3"/>
    <w:rsid w:val="492CD723"/>
    <w:rsid w:val="49403DC7"/>
    <w:rsid w:val="495F02D2"/>
    <w:rsid w:val="49811912"/>
    <w:rsid w:val="498D9E47"/>
    <w:rsid w:val="4992D0DE"/>
    <w:rsid w:val="49ABD267"/>
    <w:rsid w:val="49B558F6"/>
    <w:rsid w:val="49C768AE"/>
    <w:rsid w:val="49CB3077"/>
    <w:rsid w:val="49E10A5C"/>
    <w:rsid w:val="4A0054AB"/>
    <w:rsid w:val="4A08E6B9"/>
    <w:rsid w:val="4A21D8E1"/>
    <w:rsid w:val="4A21EC15"/>
    <w:rsid w:val="4A465E7E"/>
    <w:rsid w:val="4A5DFDE8"/>
    <w:rsid w:val="4A695A5F"/>
    <w:rsid w:val="4ABEA09E"/>
    <w:rsid w:val="4AC1DFCD"/>
    <w:rsid w:val="4AC68206"/>
    <w:rsid w:val="4AC6C0A7"/>
    <w:rsid w:val="4AE9C4AF"/>
    <w:rsid w:val="4AF60B37"/>
    <w:rsid w:val="4AFB42B1"/>
    <w:rsid w:val="4B0A88A6"/>
    <w:rsid w:val="4B1A837A"/>
    <w:rsid w:val="4B282AE9"/>
    <w:rsid w:val="4B4ACF3C"/>
    <w:rsid w:val="4B62DAED"/>
    <w:rsid w:val="4B63390F"/>
    <w:rsid w:val="4B87C564"/>
    <w:rsid w:val="4BC119F7"/>
    <w:rsid w:val="4BCB876D"/>
    <w:rsid w:val="4BD65B75"/>
    <w:rsid w:val="4BF41A5C"/>
    <w:rsid w:val="4BFB2F03"/>
    <w:rsid w:val="4C14B530"/>
    <w:rsid w:val="4C27514A"/>
    <w:rsid w:val="4C398339"/>
    <w:rsid w:val="4C576ABB"/>
    <w:rsid w:val="4C5E4894"/>
    <w:rsid w:val="4C886692"/>
    <w:rsid w:val="4CA983F7"/>
    <w:rsid w:val="4CA9F1F2"/>
    <w:rsid w:val="4CD7F3F0"/>
    <w:rsid w:val="4CE70470"/>
    <w:rsid w:val="4D2813BF"/>
    <w:rsid w:val="4D381013"/>
    <w:rsid w:val="4D8C972A"/>
    <w:rsid w:val="4D94CF1F"/>
    <w:rsid w:val="4D977A23"/>
    <w:rsid w:val="4DBD2ADF"/>
    <w:rsid w:val="4DC1C73F"/>
    <w:rsid w:val="4DDEE61A"/>
    <w:rsid w:val="4DECCCC5"/>
    <w:rsid w:val="4DEFE11D"/>
    <w:rsid w:val="4DFAB780"/>
    <w:rsid w:val="4E4384D6"/>
    <w:rsid w:val="4E5588D3"/>
    <w:rsid w:val="4ED3CB24"/>
    <w:rsid w:val="4ED74BC2"/>
    <w:rsid w:val="4EE346D2"/>
    <w:rsid w:val="4EF335AB"/>
    <w:rsid w:val="4F789E64"/>
    <w:rsid w:val="4F8D3D10"/>
    <w:rsid w:val="4F8F0B7D"/>
    <w:rsid w:val="4FCF14C0"/>
    <w:rsid w:val="502F985C"/>
    <w:rsid w:val="5048A82A"/>
    <w:rsid w:val="505A6530"/>
    <w:rsid w:val="506D8A26"/>
    <w:rsid w:val="508F060C"/>
    <w:rsid w:val="509FE952"/>
    <w:rsid w:val="50E36CA3"/>
    <w:rsid w:val="50E6D746"/>
    <w:rsid w:val="50FA6003"/>
    <w:rsid w:val="5140BBD5"/>
    <w:rsid w:val="514A361B"/>
    <w:rsid w:val="515F70E3"/>
    <w:rsid w:val="5174C46D"/>
    <w:rsid w:val="51A54107"/>
    <w:rsid w:val="51A769C2"/>
    <w:rsid w:val="51AA7F1A"/>
    <w:rsid w:val="51F7C7F8"/>
    <w:rsid w:val="5224D94E"/>
    <w:rsid w:val="524F3187"/>
    <w:rsid w:val="526A7087"/>
    <w:rsid w:val="52716B8B"/>
    <w:rsid w:val="5299D2FA"/>
    <w:rsid w:val="52AECFF8"/>
    <w:rsid w:val="52E7D2C2"/>
    <w:rsid w:val="52E7E214"/>
    <w:rsid w:val="52EC4D0D"/>
    <w:rsid w:val="52F3F9BE"/>
    <w:rsid w:val="533E4122"/>
    <w:rsid w:val="534C1033"/>
    <w:rsid w:val="53548D26"/>
    <w:rsid w:val="53695D5E"/>
    <w:rsid w:val="53C6A6CE"/>
    <w:rsid w:val="53C71E77"/>
    <w:rsid w:val="53C8C9FE"/>
    <w:rsid w:val="540ED174"/>
    <w:rsid w:val="545523FD"/>
    <w:rsid w:val="547444DD"/>
    <w:rsid w:val="54810258"/>
    <w:rsid w:val="549749B2"/>
    <w:rsid w:val="54CC0E23"/>
    <w:rsid w:val="54D4D6AF"/>
    <w:rsid w:val="54DDF37C"/>
    <w:rsid w:val="54F67908"/>
    <w:rsid w:val="551019B4"/>
    <w:rsid w:val="552B665F"/>
    <w:rsid w:val="554BD71F"/>
    <w:rsid w:val="554D6FDD"/>
    <w:rsid w:val="555D8A94"/>
    <w:rsid w:val="5560CF98"/>
    <w:rsid w:val="5586D249"/>
    <w:rsid w:val="55C98E60"/>
    <w:rsid w:val="55ED216A"/>
    <w:rsid w:val="55FCD3E0"/>
    <w:rsid w:val="5610153E"/>
    <w:rsid w:val="563A3D5B"/>
    <w:rsid w:val="567E1752"/>
    <w:rsid w:val="56829177"/>
    <w:rsid w:val="56830652"/>
    <w:rsid w:val="5687C80F"/>
    <w:rsid w:val="56A6AFE1"/>
    <w:rsid w:val="56AD2082"/>
    <w:rsid w:val="56E61C4D"/>
    <w:rsid w:val="56EAF74F"/>
    <w:rsid w:val="56EBB44B"/>
    <w:rsid w:val="56F242EF"/>
    <w:rsid w:val="56F6BBF0"/>
    <w:rsid w:val="579E7868"/>
    <w:rsid w:val="57AE8D2A"/>
    <w:rsid w:val="57E8E763"/>
    <w:rsid w:val="57F71DB6"/>
    <w:rsid w:val="57FF56DA"/>
    <w:rsid w:val="57FF7C1C"/>
    <w:rsid w:val="5831D9D3"/>
    <w:rsid w:val="58555287"/>
    <w:rsid w:val="5860959B"/>
    <w:rsid w:val="5887D79C"/>
    <w:rsid w:val="5897BBDB"/>
    <w:rsid w:val="58A1415D"/>
    <w:rsid w:val="58BC2DAC"/>
    <w:rsid w:val="58FE52C8"/>
    <w:rsid w:val="5901BC1B"/>
    <w:rsid w:val="5937F062"/>
    <w:rsid w:val="595F780E"/>
    <w:rsid w:val="598AF178"/>
    <w:rsid w:val="59B0E22E"/>
    <w:rsid w:val="59BC4AC9"/>
    <w:rsid w:val="59C91654"/>
    <w:rsid w:val="5A3C53D1"/>
    <w:rsid w:val="5A3EA048"/>
    <w:rsid w:val="5A47E93C"/>
    <w:rsid w:val="5A491FCC"/>
    <w:rsid w:val="5A4ADD25"/>
    <w:rsid w:val="5A5E4F12"/>
    <w:rsid w:val="5A754603"/>
    <w:rsid w:val="5A8D3E7F"/>
    <w:rsid w:val="5AAD5062"/>
    <w:rsid w:val="5ACE6425"/>
    <w:rsid w:val="5AEAAFDA"/>
    <w:rsid w:val="5B0E1BE7"/>
    <w:rsid w:val="5B143BB2"/>
    <w:rsid w:val="5B1684FF"/>
    <w:rsid w:val="5B216197"/>
    <w:rsid w:val="5B2C91D4"/>
    <w:rsid w:val="5B2F3053"/>
    <w:rsid w:val="5BB6E97F"/>
    <w:rsid w:val="5BB77F07"/>
    <w:rsid w:val="5BC8CC94"/>
    <w:rsid w:val="5C00F2FD"/>
    <w:rsid w:val="5C066DAF"/>
    <w:rsid w:val="5C35B558"/>
    <w:rsid w:val="5C3679EC"/>
    <w:rsid w:val="5C41FE81"/>
    <w:rsid w:val="5C87CF26"/>
    <w:rsid w:val="5CCB00B4"/>
    <w:rsid w:val="5CD2ED3F"/>
    <w:rsid w:val="5CDAA2C2"/>
    <w:rsid w:val="5CE80AF0"/>
    <w:rsid w:val="5D26CDD9"/>
    <w:rsid w:val="5D2A4199"/>
    <w:rsid w:val="5D4B3769"/>
    <w:rsid w:val="5D85F12E"/>
    <w:rsid w:val="5DA23E10"/>
    <w:rsid w:val="5DDA7918"/>
    <w:rsid w:val="5DF364EA"/>
    <w:rsid w:val="5E2291DB"/>
    <w:rsid w:val="5E2527C9"/>
    <w:rsid w:val="5E83A59F"/>
    <w:rsid w:val="5E8D9C00"/>
    <w:rsid w:val="5E97ED05"/>
    <w:rsid w:val="5EA229BB"/>
    <w:rsid w:val="5EEDD433"/>
    <w:rsid w:val="5EEF1FC9"/>
    <w:rsid w:val="5F0E5261"/>
    <w:rsid w:val="5F31C046"/>
    <w:rsid w:val="5F5A930D"/>
    <w:rsid w:val="5F8B79FD"/>
    <w:rsid w:val="5F8DBBCF"/>
    <w:rsid w:val="5F8EBC58"/>
    <w:rsid w:val="5F9B1FEC"/>
    <w:rsid w:val="5FBB5604"/>
    <w:rsid w:val="5FBB75F6"/>
    <w:rsid w:val="5FD15D46"/>
    <w:rsid w:val="5FD48AA9"/>
    <w:rsid w:val="5FEBEF91"/>
    <w:rsid w:val="5FEE4CEF"/>
    <w:rsid w:val="601A97C7"/>
    <w:rsid w:val="6023B65E"/>
    <w:rsid w:val="60B5F4D9"/>
    <w:rsid w:val="60D9DED2"/>
    <w:rsid w:val="60E3FBE1"/>
    <w:rsid w:val="60E7F6D7"/>
    <w:rsid w:val="6109136C"/>
    <w:rsid w:val="610A00FE"/>
    <w:rsid w:val="61720AD2"/>
    <w:rsid w:val="6177B155"/>
    <w:rsid w:val="61837D36"/>
    <w:rsid w:val="61A65E62"/>
    <w:rsid w:val="61B0E200"/>
    <w:rsid w:val="61B9CAA5"/>
    <w:rsid w:val="622A4CC5"/>
    <w:rsid w:val="62517932"/>
    <w:rsid w:val="62626DC4"/>
    <w:rsid w:val="6263CAEF"/>
    <w:rsid w:val="62B86247"/>
    <w:rsid w:val="62E95140"/>
    <w:rsid w:val="630CAB77"/>
    <w:rsid w:val="63195BEB"/>
    <w:rsid w:val="631D66CE"/>
    <w:rsid w:val="634F78D4"/>
    <w:rsid w:val="63511613"/>
    <w:rsid w:val="635B5720"/>
    <w:rsid w:val="6374B514"/>
    <w:rsid w:val="639CFED9"/>
    <w:rsid w:val="63BB6CC3"/>
    <w:rsid w:val="63CFE8A1"/>
    <w:rsid w:val="63DE74F9"/>
    <w:rsid w:val="640F04C8"/>
    <w:rsid w:val="642531B1"/>
    <w:rsid w:val="642EE4A4"/>
    <w:rsid w:val="6442558B"/>
    <w:rsid w:val="644625F7"/>
    <w:rsid w:val="644FB090"/>
    <w:rsid w:val="64B5AD88"/>
    <w:rsid w:val="650EF6CB"/>
    <w:rsid w:val="6511071E"/>
    <w:rsid w:val="651C74FC"/>
    <w:rsid w:val="653CFA24"/>
    <w:rsid w:val="65C45B16"/>
    <w:rsid w:val="65D40F9F"/>
    <w:rsid w:val="65D9BEC8"/>
    <w:rsid w:val="66268783"/>
    <w:rsid w:val="66385547"/>
    <w:rsid w:val="66389F3A"/>
    <w:rsid w:val="66590DAB"/>
    <w:rsid w:val="66A267BA"/>
    <w:rsid w:val="66D05A91"/>
    <w:rsid w:val="66F0C127"/>
    <w:rsid w:val="66F56980"/>
    <w:rsid w:val="670A07E4"/>
    <w:rsid w:val="6718553A"/>
    <w:rsid w:val="671C58E0"/>
    <w:rsid w:val="671E13B5"/>
    <w:rsid w:val="6722535B"/>
    <w:rsid w:val="67435458"/>
    <w:rsid w:val="67782F7C"/>
    <w:rsid w:val="679583B5"/>
    <w:rsid w:val="67A6B8B7"/>
    <w:rsid w:val="67AB0544"/>
    <w:rsid w:val="67D9965D"/>
    <w:rsid w:val="68244ABD"/>
    <w:rsid w:val="6859BEA9"/>
    <w:rsid w:val="6882617D"/>
    <w:rsid w:val="694D1844"/>
    <w:rsid w:val="6972F54D"/>
    <w:rsid w:val="6994F6F8"/>
    <w:rsid w:val="6997AF37"/>
    <w:rsid w:val="69F6D099"/>
    <w:rsid w:val="6A26AC23"/>
    <w:rsid w:val="6A370130"/>
    <w:rsid w:val="6A5B9D63"/>
    <w:rsid w:val="6A7BAB5E"/>
    <w:rsid w:val="6A88F9DA"/>
    <w:rsid w:val="6A898FBA"/>
    <w:rsid w:val="6AACBC5B"/>
    <w:rsid w:val="6ADF80B7"/>
    <w:rsid w:val="6AE2A606"/>
    <w:rsid w:val="6AE2AA13"/>
    <w:rsid w:val="6B16B4F6"/>
    <w:rsid w:val="6B292F8C"/>
    <w:rsid w:val="6B2A5F7C"/>
    <w:rsid w:val="6B3DB7E9"/>
    <w:rsid w:val="6B5CC4F1"/>
    <w:rsid w:val="6B5FDA26"/>
    <w:rsid w:val="6B7C5C41"/>
    <w:rsid w:val="6B99DA8E"/>
    <w:rsid w:val="6BCBD806"/>
    <w:rsid w:val="6BD444C1"/>
    <w:rsid w:val="6BD9BB6F"/>
    <w:rsid w:val="6C12908B"/>
    <w:rsid w:val="6C14595D"/>
    <w:rsid w:val="6C3C37EB"/>
    <w:rsid w:val="6C64EC53"/>
    <w:rsid w:val="6C66CC71"/>
    <w:rsid w:val="6C738A2D"/>
    <w:rsid w:val="6C93E01E"/>
    <w:rsid w:val="6C9A49B8"/>
    <w:rsid w:val="6CABB829"/>
    <w:rsid w:val="6CC1D0E6"/>
    <w:rsid w:val="6CDE3143"/>
    <w:rsid w:val="6CEC7A0C"/>
    <w:rsid w:val="6CED4E34"/>
    <w:rsid w:val="6D002B78"/>
    <w:rsid w:val="6D2B9FAB"/>
    <w:rsid w:val="6D5F2254"/>
    <w:rsid w:val="6D71CBDA"/>
    <w:rsid w:val="6D8CCC43"/>
    <w:rsid w:val="6D96A7D2"/>
    <w:rsid w:val="6DF8CEEA"/>
    <w:rsid w:val="6DFF6F62"/>
    <w:rsid w:val="6E077F31"/>
    <w:rsid w:val="6E6E24C5"/>
    <w:rsid w:val="6E8AA697"/>
    <w:rsid w:val="6EC4930F"/>
    <w:rsid w:val="6ED1825D"/>
    <w:rsid w:val="6F0D9C3B"/>
    <w:rsid w:val="6F197783"/>
    <w:rsid w:val="6F5F7C00"/>
    <w:rsid w:val="6F798FF4"/>
    <w:rsid w:val="6F7C6C2B"/>
    <w:rsid w:val="6F9AA3F5"/>
    <w:rsid w:val="6FA14B9F"/>
    <w:rsid w:val="6FA5E9E0"/>
    <w:rsid w:val="6FE1F766"/>
    <w:rsid w:val="6FFDD09F"/>
    <w:rsid w:val="701438F2"/>
    <w:rsid w:val="701E72EF"/>
    <w:rsid w:val="70296DA4"/>
    <w:rsid w:val="7061BBFF"/>
    <w:rsid w:val="707138CD"/>
    <w:rsid w:val="707AE45C"/>
    <w:rsid w:val="709AAB2F"/>
    <w:rsid w:val="70D3879B"/>
    <w:rsid w:val="70F83B5E"/>
    <w:rsid w:val="7100B346"/>
    <w:rsid w:val="710190D4"/>
    <w:rsid w:val="7108CD46"/>
    <w:rsid w:val="712463FF"/>
    <w:rsid w:val="713D2D0A"/>
    <w:rsid w:val="71434081"/>
    <w:rsid w:val="7144654D"/>
    <w:rsid w:val="717B3650"/>
    <w:rsid w:val="71A5F65D"/>
    <w:rsid w:val="71C5DB7F"/>
    <w:rsid w:val="72029BAF"/>
    <w:rsid w:val="723E17CB"/>
    <w:rsid w:val="72710C71"/>
    <w:rsid w:val="7276122A"/>
    <w:rsid w:val="72858A06"/>
    <w:rsid w:val="72B6027E"/>
    <w:rsid w:val="72C3082C"/>
    <w:rsid w:val="72E27B05"/>
    <w:rsid w:val="732129A4"/>
    <w:rsid w:val="7323A95A"/>
    <w:rsid w:val="7374FD8A"/>
    <w:rsid w:val="73B76127"/>
    <w:rsid w:val="73B7946D"/>
    <w:rsid w:val="73C24904"/>
    <w:rsid w:val="73D07941"/>
    <w:rsid w:val="73D62B81"/>
    <w:rsid w:val="73DB7E00"/>
    <w:rsid w:val="74000F19"/>
    <w:rsid w:val="7400E8AE"/>
    <w:rsid w:val="7430430B"/>
    <w:rsid w:val="747FC76C"/>
    <w:rsid w:val="748EBF60"/>
    <w:rsid w:val="7496BC52"/>
    <w:rsid w:val="74A397E6"/>
    <w:rsid w:val="74BCFA05"/>
    <w:rsid w:val="74E6EB9F"/>
    <w:rsid w:val="74EEA429"/>
    <w:rsid w:val="75309559"/>
    <w:rsid w:val="75343983"/>
    <w:rsid w:val="75360D53"/>
    <w:rsid w:val="753A3C71"/>
    <w:rsid w:val="7544986E"/>
    <w:rsid w:val="75592F07"/>
    <w:rsid w:val="7565A149"/>
    <w:rsid w:val="7576CF90"/>
    <w:rsid w:val="757E47B3"/>
    <w:rsid w:val="75829FCF"/>
    <w:rsid w:val="7585EF5E"/>
    <w:rsid w:val="75CAA4D7"/>
    <w:rsid w:val="75EDA340"/>
    <w:rsid w:val="76014E69"/>
    <w:rsid w:val="76158B87"/>
    <w:rsid w:val="7624166A"/>
    <w:rsid w:val="767AC2AF"/>
    <w:rsid w:val="7681133A"/>
    <w:rsid w:val="76A4C52D"/>
    <w:rsid w:val="76A865FB"/>
    <w:rsid w:val="76AE4EAA"/>
    <w:rsid w:val="76B0E0F9"/>
    <w:rsid w:val="76BECABD"/>
    <w:rsid w:val="76D1E390"/>
    <w:rsid w:val="76ED8B0C"/>
    <w:rsid w:val="772F01F3"/>
    <w:rsid w:val="77348A8D"/>
    <w:rsid w:val="7754FB9E"/>
    <w:rsid w:val="776A4337"/>
    <w:rsid w:val="77A9BD3B"/>
    <w:rsid w:val="77B3FDBC"/>
    <w:rsid w:val="77B55801"/>
    <w:rsid w:val="77C8E582"/>
    <w:rsid w:val="77F601ED"/>
    <w:rsid w:val="780C5B9D"/>
    <w:rsid w:val="786CCDE4"/>
    <w:rsid w:val="786F9E1D"/>
    <w:rsid w:val="7879B544"/>
    <w:rsid w:val="788B0590"/>
    <w:rsid w:val="78AD80C3"/>
    <w:rsid w:val="78D5B9BA"/>
    <w:rsid w:val="78DD8B6E"/>
    <w:rsid w:val="78E6AD72"/>
    <w:rsid w:val="78EA36F4"/>
    <w:rsid w:val="78EFA5B4"/>
    <w:rsid w:val="79343627"/>
    <w:rsid w:val="7979D4B5"/>
    <w:rsid w:val="798B8A88"/>
    <w:rsid w:val="79E1DA56"/>
    <w:rsid w:val="7A200F07"/>
    <w:rsid w:val="7A57D35E"/>
    <w:rsid w:val="7A5A638B"/>
    <w:rsid w:val="7A70B645"/>
    <w:rsid w:val="7A726BD9"/>
    <w:rsid w:val="7A86F8C6"/>
    <w:rsid w:val="7A8B5A65"/>
    <w:rsid w:val="7A9FF229"/>
    <w:rsid w:val="7AB96797"/>
    <w:rsid w:val="7AD536A1"/>
    <w:rsid w:val="7ADD0364"/>
    <w:rsid w:val="7AECFB7B"/>
    <w:rsid w:val="7B3E74DD"/>
    <w:rsid w:val="7B46F3FA"/>
    <w:rsid w:val="7B694FF9"/>
    <w:rsid w:val="7B6ABEFA"/>
    <w:rsid w:val="7B98BC04"/>
    <w:rsid w:val="7BA97DF5"/>
    <w:rsid w:val="7BBA9C1D"/>
    <w:rsid w:val="7C3EE426"/>
    <w:rsid w:val="7C41BE24"/>
    <w:rsid w:val="7C63EB0D"/>
    <w:rsid w:val="7C7444BE"/>
    <w:rsid w:val="7C8BFC86"/>
    <w:rsid w:val="7C99C7D1"/>
    <w:rsid w:val="7CB1A324"/>
    <w:rsid w:val="7CF3BC74"/>
    <w:rsid w:val="7CF77A1E"/>
    <w:rsid w:val="7D20227D"/>
    <w:rsid w:val="7D3C429C"/>
    <w:rsid w:val="7D418291"/>
    <w:rsid w:val="7D4E966A"/>
    <w:rsid w:val="7D52F405"/>
    <w:rsid w:val="7D840203"/>
    <w:rsid w:val="7DD45B40"/>
    <w:rsid w:val="7E04656E"/>
    <w:rsid w:val="7E414A0C"/>
    <w:rsid w:val="7E7B6CAC"/>
    <w:rsid w:val="7E99B99E"/>
    <w:rsid w:val="7EBCD257"/>
    <w:rsid w:val="7EC8E838"/>
    <w:rsid w:val="7F027FC2"/>
    <w:rsid w:val="7F0BDA19"/>
    <w:rsid w:val="7F536A5C"/>
    <w:rsid w:val="7F8248BE"/>
    <w:rsid w:val="7FD4C197"/>
    <w:rsid w:val="7FDA6B18"/>
    <w:rsid w:val="7FFACC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F75F65"/>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lsdException w:name="heading 7" w:semiHidden="1" w:uiPriority="2" w:unhideWhenUsed="1"/>
    <w:lsdException w:name="heading 8" w:semiHidden="1" w:uiPriority="2" w:unhideWhenUsed="1" w:qFormat="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00 - BODY"/>
    <w:qFormat/>
    <w:rsid w:val="005A4960"/>
    <w:pPr>
      <w:spacing w:after="160" w:line="264" w:lineRule="auto"/>
    </w:pPr>
    <w:rPr>
      <w:sz w:val="24"/>
    </w:rPr>
  </w:style>
  <w:style w:type="paragraph" w:styleId="Heading1">
    <w:name w:val="heading 1"/>
    <w:aliases w:val="1H - Heading 1"/>
    <w:basedOn w:val="Normal"/>
    <w:next w:val="Normal"/>
    <w:link w:val="Heading1Char"/>
    <w:autoRedefine/>
    <w:uiPriority w:val="9"/>
    <w:qFormat/>
    <w:rsid w:val="005A4960"/>
    <w:pPr>
      <w:keepNext/>
      <w:keepLines/>
      <w:spacing w:after="120" w:line="240" w:lineRule="auto"/>
      <w:ind w:right="566"/>
      <w:outlineLvl w:val="0"/>
    </w:pPr>
    <w:rPr>
      <w:rFonts w:ascii="Segoe UI" w:eastAsiaTheme="majorEastAsia" w:hAnsi="Segoe UI" w:cstheme="majorBidi"/>
      <w:noProof/>
      <w:color w:val="092B57" w:themeColor="text1"/>
      <w:sz w:val="52"/>
      <w:szCs w:val="52"/>
    </w:rPr>
  </w:style>
  <w:style w:type="paragraph" w:styleId="Heading2">
    <w:name w:val="heading 2"/>
    <w:aliases w:val="2H - Heading 2"/>
    <w:basedOn w:val="Normal"/>
    <w:next w:val="Normal"/>
    <w:link w:val="Heading2Char"/>
    <w:uiPriority w:val="2"/>
    <w:qFormat/>
    <w:rsid w:val="005A4960"/>
    <w:pPr>
      <w:keepNext/>
      <w:keepLines/>
      <w:spacing w:before="240" w:line="240" w:lineRule="auto"/>
      <w:outlineLvl w:val="1"/>
    </w:pPr>
    <w:rPr>
      <w:rFonts w:ascii="Segoe UI" w:eastAsiaTheme="majorEastAsia" w:hAnsi="Segoe UI" w:cstheme="majorBidi"/>
      <w:color w:val="092B57" w:themeColor="text1"/>
      <w:sz w:val="44"/>
      <w:szCs w:val="44"/>
    </w:rPr>
  </w:style>
  <w:style w:type="paragraph" w:styleId="Heading3">
    <w:name w:val="heading 3"/>
    <w:aliases w:val="3H - Heading 3"/>
    <w:basedOn w:val="Heading4"/>
    <w:next w:val="Normal"/>
    <w:link w:val="Heading3Char"/>
    <w:uiPriority w:val="2"/>
    <w:qFormat/>
    <w:rsid w:val="00987367"/>
    <w:pPr>
      <w:outlineLvl w:val="2"/>
    </w:pPr>
    <w:rPr>
      <w:b/>
      <w:color w:val="0C3D7B" w:themeColor="text1" w:themeTint="E6"/>
      <w:sz w:val="36"/>
      <w:szCs w:val="36"/>
    </w:rPr>
  </w:style>
  <w:style w:type="paragraph" w:styleId="Heading4">
    <w:name w:val="heading 4"/>
    <w:aliases w:val="4H - Heading 4"/>
    <w:basedOn w:val="Normal"/>
    <w:next w:val="Normal"/>
    <w:link w:val="Heading4Char"/>
    <w:uiPriority w:val="2"/>
    <w:qFormat/>
    <w:rsid w:val="00987367"/>
    <w:pPr>
      <w:keepNext/>
      <w:keepLines/>
      <w:spacing w:before="240"/>
      <w:outlineLvl w:val="3"/>
    </w:pPr>
    <w:rPr>
      <w:rFonts w:eastAsiaTheme="majorEastAsia" w:cstheme="minorHAnsi"/>
      <w:color w:val="092B57" w:themeColor="text1"/>
      <w:sz w:val="32"/>
      <w:szCs w:val="32"/>
    </w:rPr>
  </w:style>
  <w:style w:type="paragraph" w:styleId="Heading5">
    <w:name w:val="heading 5"/>
    <w:aliases w:val="5H - Heading 5"/>
    <w:basedOn w:val="Normal"/>
    <w:next w:val="Normal"/>
    <w:link w:val="Heading5Char"/>
    <w:autoRedefine/>
    <w:uiPriority w:val="2"/>
    <w:unhideWhenUsed/>
    <w:qFormat/>
    <w:rsid w:val="004E5054"/>
    <w:pPr>
      <w:keepNext/>
      <w:keepLines/>
      <w:spacing w:before="240"/>
      <w:outlineLvl w:val="4"/>
    </w:pPr>
    <w:rPr>
      <w:rFonts w:eastAsiaTheme="majorEastAsia" w:cstheme="majorBidi"/>
      <w:b/>
      <w:iCs/>
      <w:color w:val="092B57" w:themeColor="text1"/>
      <w:sz w:val="28"/>
      <w:szCs w:val="22"/>
    </w:rPr>
  </w:style>
  <w:style w:type="paragraph" w:styleId="Heading6">
    <w:name w:val="heading 6"/>
    <w:aliases w:val="6H - Heading 6"/>
    <w:basedOn w:val="Normal"/>
    <w:next w:val="Normal"/>
    <w:link w:val="Heading6Char"/>
    <w:uiPriority w:val="2"/>
    <w:unhideWhenUsed/>
    <w:rsid w:val="004E5054"/>
    <w:pPr>
      <w:keepNext/>
      <w:keepLines/>
      <w:spacing w:before="240"/>
      <w:outlineLvl w:val="5"/>
    </w:pPr>
    <w:rPr>
      <w:rFonts w:ascii="Segoe UI" w:eastAsiaTheme="majorEastAsia" w:hAnsi="Segoe UI" w:cstheme="majorBidi"/>
      <w:b/>
      <w:color w:val="0C3D7B" w:themeColor="text1" w:themeTint="E6"/>
      <w:szCs w:val="24"/>
    </w:rPr>
  </w:style>
  <w:style w:type="paragraph" w:styleId="Heading7">
    <w:name w:val="heading 7"/>
    <w:aliases w:val="7H - Heading 7"/>
    <w:basedOn w:val="Normal"/>
    <w:next w:val="Normal"/>
    <w:link w:val="Heading7Char"/>
    <w:uiPriority w:val="2"/>
    <w:unhideWhenUsed/>
    <w:rsid w:val="004E5054"/>
    <w:pPr>
      <w:keepNext/>
      <w:keepLines/>
      <w:spacing w:before="240"/>
      <w:outlineLvl w:val="6"/>
    </w:pPr>
    <w:rPr>
      <w:rFonts w:ascii="Segoe UI" w:eastAsiaTheme="majorEastAsia" w:hAnsi="Segoe UI" w:cstheme="majorBidi"/>
      <w:bCs/>
      <w:color w:val="0C3D7B" w:themeColor="text1" w:themeTint="E6"/>
    </w:rPr>
  </w:style>
  <w:style w:type="paragraph" w:styleId="Heading8">
    <w:name w:val="heading 8"/>
    <w:aliases w:val="8H - Heading 8"/>
    <w:basedOn w:val="Normal"/>
    <w:next w:val="Normal"/>
    <w:link w:val="Heading8Char"/>
    <w:uiPriority w:val="2"/>
    <w:unhideWhenUsed/>
    <w:qFormat/>
    <w:rsid w:val="004E5054"/>
    <w:pPr>
      <w:keepNext/>
      <w:keepLines/>
      <w:spacing w:before="240"/>
      <w:outlineLvl w:val="7"/>
    </w:pPr>
    <w:rPr>
      <w:rFonts w:ascii="Segoe UI" w:eastAsiaTheme="majorEastAsia" w:hAnsi="Segoe UI" w:cstheme="majorBidi"/>
      <w:bCs/>
      <w:i/>
      <w:iCs/>
      <w:color w:val="0C3D7B" w:themeColor="text1" w:themeTint="E6"/>
      <w:szCs w:val="20"/>
    </w:rPr>
  </w:style>
  <w:style w:type="paragraph" w:styleId="Heading9">
    <w:name w:val="heading 9"/>
    <w:basedOn w:val="Normal"/>
    <w:next w:val="Normal"/>
    <w:link w:val="Heading9Char"/>
    <w:uiPriority w:val="2"/>
    <w:unhideWhenUsed/>
    <w:rsid w:val="007D256E"/>
    <w:pPr>
      <w:keepNext/>
      <w:keepLines/>
      <w:spacing w:before="240"/>
      <w:outlineLvl w:val="8"/>
    </w:pPr>
    <w:rPr>
      <w:rFonts w:ascii="Segoe UI" w:eastAsiaTheme="majorEastAsia" w:hAnsi="Segoe UI" w:cstheme="majorBidi"/>
      <w:i/>
      <w:iCs/>
      <w:color w:val="0C3D7B" w:themeColor="text1" w:themeTint="E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H - Heading 1 Char"/>
    <w:basedOn w:val="DefaultParagraphFont"/>
    <w:link w:val="Heading1"/>
    <w:uiPriority w:val="9"/>
    <w:rsid w:val="005A4960"/>
    <w:rPr>
      <w:rFonts w:ascii="Segoe UI" w:eastAsiaTheme="majorEastAsia" w:hAnsi="Segoe UI" w:cstheme="majorBidi"/>
      <w:noProof/>
      <w:color w:val="092B57" w:themeColor="text1"/>
      <w:sz w:val="52"/>
      <w:szCs w:val="52"/>
    </w:rPr>
  </w:style>
  <w:style w:type="paragraph" w:styleId="Title">
    <w:name w:val="Title"/>
    <w:basedOn w:val="Normal"/>
    <w:next w:val="Normal"/>
    <w:link w:val="TitleChar"/>
    <w:uiPriority w:val="18"/>
    <w:rsid w:val="00844D48"/>
    <w:pPr>
      <w:spacing w:after="240" w:line="240" w:lineRule="auto"/>
      <w:contextualSpacing/>
    </w:pPr>
    <w:rPr>
      <w:rFonts w:ascii="Segoe UI" w:eastAsiaTheme="majorEastAsia" w:hAnsi="Segoe UI" w:cstheme="majorBidi"/>
      <w:color w:val="092B57" w:themeColor="text1"/>
      <w:spacing w:val="-15"/>
      <w:sz w:val="56"/>
      <w:szCs w:val="96"/>
      <w:shd w:val="clear" w:color="auto" w:fill="F5A37D" w:themeFill="background2"/>
    </w:rPr>
  </w:style>
  <w:style w:type="character" w:customStyle="1" w:styleId="TitleChar">
    <w:name w:val="Title Char"/>
    <w:basedOn w:val="DefaultParagraphFont"/>
    <w:link w:val="Title"/>
    <w:uiPriority w:val="18"/>
    <w:rsid w:val="00844D48"/>
    <w:rPr>
      <w:rFonts w:ascii="Segoe UI" w:eastAsiaTheme="majorEastAsia" w:hAnsi="Segoe UI" w:cstheme="majorBidi"/>
      <w:color w:val="092B57" w:themeColor="text1"/>
      <w:spacing w:val="-15"/>
      <w:sz w:val="56"/>
      <w:szCs w:val="96"/>
    </w:rPr>
  </w:style>
  <w:style w:type="character" w:customStyle="1" w:styleId="Heading2Char">
    <w:name w:val="Heading 2 Char"/>
    <w:aliases w:val="2H - Heading 2 Char"/>
    <w:basedOn w:val="DefaultParagraphFont"/>
    <w:link w:val="Heading2"/>
    <w:uiPriority w:val="2"/>
    <w:rsid w:val="005A4960"/>
    <w:rPr>
      <w:rFonts w:ascii="Segoe UI" w:eastAsiaTheme="majorEastAsia" w:hAnsi="Segoe UI" w:cstheme="majorBidi"/>
      <w:color w:val="092B57" w:themeColor="text1"/>
      <w:sz w:val="44"/>
      <w:szCs w:val="44"/>
    </w:rPr>
  </w:style>
  <w:style w:type="character" w:customStyle="1" w:styleId="Heading3Char">
    <w:name w:val="Heading 3 Char"/>
    <w:aliases w:val="3H - Heading 3 Char"/>
    <w:basedOn w:val="DefaultParagraphFont"/>
    <w:link w:val="Heading3"/>
    <w:uiPriority w:val="2"/>
    <w:rsid w:val="00987367"/>
    <w:rPr>
      <w:rFonts w:eastAsiaTheme="majorEastAsia" w:cstheme="minorHAnsi"/>
      <w:b/>
      <w:color w:val="0C3D7B" w:themeColor="text1" w:themeTint="E6"/>
      <w:sz w:val="36"/>
      <w:szCs w:val="36"/>
    </w:rPr>
  </w:style>
  <w:style w:type="character" w:customStyle="1" w:styleId="Heading4Char">
    <w:name w:val="Heading 4 Char"/>
    <w:aliases w:val="4H - Heading 4 Char"/>
    <w:basedOn w:val="DefaultParagraphFont"/>
    <w:link w:val="Heading4"/>
    <w:uiPriority w:val="2"/>
    <w:rsid w:val="00987367"/>
    <w:rPr>
      <w:rFonts w:eastAsiaTheme="majorEastAsia" w:cstheme="minorHAnsi"/>
      <w:color w:val="092B57" w:themeColor="text1"/>
      <w:sz w:val="32"/>
      <w:szCs w:val="32"/>
    </w:rPr>
  </w:style>
  <w:style w:type="character" w:customStyle="1" w:styleId="Heading5Char">
    <w:name w:val="Heading 5 Char"/>
    <w:aliases w:val="5H - Heading 5 Char"/>
    <w:basedOn w:val="DefaultParagraphFont"/>
    <w:link w:val="Heading5"/>
    <w:uiPriority w:val="2"/>
    <w:rsid w:val="004E5054"/>
    <w:rPr>
      <w:rFonts w:eastAsiaTheme="majorEastAsia" w:cstheme="majorBidi"/>
      <w:b/>
      <w:iCs/>
      <w:color w:val="092B57" w:themeColor="text1"/>
      <w:sz w:val="28"/>
      <w:szCs w:val="22"/>
    </w:rPr>
  </w:style>
  <w:style w:type="character" w:customStyle="1" w:styleId="Heading6Char">
    <w:name w:val="Heading 6 Char"/>
    <w:aliases w:val="6H - Heading 6 Char"/>
    <w:basedOn w:val="DefaultParagraphFont"/>
    <w:link w:val="Heading6"/>
    <w:uiPriority w:val="2"/>
    <w:rsid w:val="004E5054"/>
    <w:rPr>
      <w:rFonts w:ascii="Segoe UI" w:eastAsiaTheme="majorEastAsia" w:hAnsi="Segoe UI" w:cstheme="majorBidi"/>
      <w:b/>
      <w:color w:val="0C3D7B" w:themeColor="text1" w:themeTint="E6"/>
      <w:sz w:val="24"/>
      <w:szCs w:val="24"/>
    </w:rPr>
  </w:style>
  <w:style w:type="character" w:customStyle="1" w:styleId="Heading7Char">
    <w:name w:val="Heading 7 Char"/>
    <w:aliases w:val="7H - Heading 7 Char"/>
    <w:basedOn w:val="DefaultParagraphFont"/>
    <w:link w:val="Heading7"/>
    <w:uiPriority w:val="2"/>
    <w:rsid w:val="004E5054"/>
    <w:rPr>
      <w:rFonts w:ascii="Segoe UI" w:eastAsiaTheme="majorEastAsia" w:hAnsi="Segoe UI" w:cstheme="majorBidi"/>
      <w:bCs/>
      <w:color w:val="0C3D7B" w:themeColor="text1" w:themeTint="E6"/>
      <w:sz w:val="24"/>
    </w:rPr>
  </w:style>
  <w:style w:type="character" w:customStyle="1" w:styleId="Heading8Char">
    <w:name w:val="Heading 8 Char"/>
    <w:aliases w:val="8H - Heading 8 Char"/>
    <w:basedOn w:val="DefaultParagraphFont"/>
    <w:link w:val="Heading8"/>
    <w:uiPriority w:val="2"/>
    <w:rsid w:val="004E5054"/>
    <w:rPr>
      <w:rFonts w:ascii="Segoe UI" w:eastAsiaTheme="majorEastAsia" w:hAnsi="Segoe UI" w:cstheme="majorBidi"/>
      <w:bCs/>
      <w:i/>
      <w:iCs/>
      <w:color w:val="0C3D7B" w:themeColor="text1" w:themeTint="E6"/>
      <w:sz w:val="24"/>
      <w:szCs w:val="20"/>
    </w:rPr>
  </w:style>
  <w:style w:type="character" w:customStyle="1" w:styleId="Heading9Char">
    <w:name w:val="Heading 9 Char"/>
    <w:basedOn w:val="DefaultParagraphFont"/>
    <w:link w:val="Heading9"/>
    <w:uiPriority w:val="2"/>
    <w:rsid w:val="007D256E"/>
    <w:rPr>
      <w:rFonts w:ascii="Segoe UI" w:eastAsiaTheme="majorEastAsia" w:hAnsi="Segoe UI" w:cstheme="majorBidi"/>
      <w:i/>
      <w:iCs/>
      <w:color w:val="0C3D7B" w:themeColor="text1" w:themeTint="E6"/>
      <w:sz w:val="24"/>
      <w:szCs w:val="20"/>
    </w:rPr>
  </w:style>
  <w:style w:type="paragraph" w:styleId="Subtitle">
    <w:name w:val="Subtitle"/>
    <w:aliases w:val="COVER subtitle"/>
    <w:basedOn w:val="Normal"/>
    <w:next w:val="Normal"/>
    <w:link w:val="SubtitleChar"/>
    <w:autoRedefine/>
    <w:uiPriority w:val="19"/>
    <w:qFormat/>
    <w:rsid w:val="005A4960"/>
    <w:pPr>
      <w:numPr>
        <w:ilvl w:val="1"/>
      </w:numPr>
      <w:spacing w:line="240" w:lineRule="auto"/>
      <w:ind w:left="2977" w:right="1416"/>
    </w:pPr>
    <w:rPr>
      <w:rFonts w:eastAsiaTheme="majorEastAsia" w:cstheme="minorHAnsi"/>
      <w:noProof/>
      <w:color w:val="FFFFFF" w:themeColor="background1"/>
      <w:sz w:val="32"/>
      <w:szCs w:val="30"/>
    </w:rPr>
  </w:style>
  <w:style w:type="character" w:customStyle="1" w:styleId="SubtitleChar">
    <w:name w:val="Subtitle Char"/>
    <w:aliases w:val="COVER subtitle Char"/>
    <w:basedOn w:val="DefaultParagraphFont"/>
    <w:link w:val="Subtitle"/>
    <w:uiPriority w:val="19"/>
    <w:rsid w:val="005A4960"/>
    <w:rPr>
      <w:rFonts w:eastAsiaTheme="majorEastAsia" w:cstheme="minorHAnsi"/>
      <w:noProof/>
      <w:color w:val="FFFFFF" w:themeColor="background1"/>
      <w:sz w:val="32"/>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unhideWhenUsed/>
    <w:qFormat/>
    <w:rsid w:val="00D525B8"/>
    <w:pPr>
      <w:spacing w:line="240" w:lineRule="auto"/>
    </w:pPr>
    <w:rPr>
      <w:b/>
      <w:bCs/>
      <w:smallCaps/>
      <w:color w:val="166BD9" w:themeColor="text1" w:themeTint="A6"/>
    </w:rPr>
  </w:style>
  <w:style w:type="character" w:styleId="Strong">
    <w:name w:val="Strong"/>
    <w:basedOn w:val="DefaultParagraphFont"/>
    <w:uiPriority w:val="22"/>
    <w:unhideWhenUsed/>
    <w:qFormat/>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5468A2"/>
    <w:pPr>
      <w:spacing w:before="240"/>
      <w:ind w:left="720" w:right="720"/>
    </w:pPr>
    <w:rPr>
      <w:i/>
      <w:iCs/>
      <w:color w:val="092B57" w:themeColor="text1"/>
    </w:rPr>
  </w:style>
  <w:style w:type="character" w:customStyle="1" w:styleId="QuoteChar">
    <w:name w:val="Quote Char"/>
    <w:basedOn w:val="DefaultParagraphFont"/>
    <w:link w:val="Quote"/>
    <w:uiPriority w:val="16"/>
    <w:rsid w:val="005468A2"/>
    <w:rPr>
      <w:i/>
      <w:iCs/>
      <w:color w:val="092B57" w:themeColor="text1"/>
      <w:sz w:val="24"/>
    </w:rPr>
  </w:style>
  <w:style w:type="paragraph" w:styleId="IntenseQuote">
    <w:name w:val="Intense Quote"/>
    <w:basedOn w:val="Normal"/>
    <w:next w:val="Normal"/>
    <w:link w:val="IntenseQuoteChar"/>
    <w:uiPriority w:val="17"/>
    <w:qFormat/>
    <w:rsid w:val="005468A2"/>
    <w:pPr>
      <w:spacing w:before="120"/>
      <w:ind w:left="720" w:right="720"/>
    </w:pPr>
    <w:rPr>
      <w:rFonts w:ascii="Segoe UI" w:eastAsiaTheme="majorEastAsia" w:hAnsi="Segoe UI" w:cstheme="majorBidi"/>
      <w:iCs/>
      <w:color w:val="092B57" w:themeColor="text1"/>
      <w:sz w:val="32"/>
      <w:szCs w:val="32"/>
    </w:rPr>
  </w:style>
  <w:style w:type="character" w:customStyle="1" w:styleId="IntenseQuoteChar">
    <w:name w:val="Intense Quote Char"/>
    <w:basedOn w:val="DefaultParagraphFont"/>
    <w:link w:val="IntenseQuote"/>
    <w:uiPriority w:val="17"/>
    <w:rsid w:val="005468A2"/>
    <w:rPr>
      <w:rFonts w:ascii="Segoe UI" w:eastAsiaTheme="majorEastAsia" w:hAnsi="Segoe UI" w:cstheme="majorBidi"/>
      <w:iCs/>
      <w:color w:val="092B57" w:themeColor="text1"/>
      <w:sz w:val="32"/>
      <w:szCs w:val="32"/>
    </w:rPr>
  </w:style>
  <w:style w:type="character" w:styleId="SubtleEmphasis">
    <w:name w:val="Subtle Emphasis"/>
    <w:basedOn w:val="DefaultParagraphFont"/>
    <w:uiPriority w:val="19"/>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CE04A1"/>
    <w:rPr>
      <w:rFonts w:ascii="Segoe UI" w:hAnsi="Segoe UI"/>
      <w:smallCaps/>
      <w:color w:val="092B57" w:themeColor="text1"/>
      <w:sz w:val="28"/>
    </w:rPr>
  </w:style>
  <w:style w:type="character" w:styleId="IntenseReference">
    <w:name w:val="Intense Reference"/>
    <w:basedOn w:val="DefaultParagraphFont"/>
    <w:uiPriority w:val="32"/>
    <w:unhideWhenUsed/>
    <w:rsid w:val="00CE04A1"/>
    <w:rPr>
      <w:b/>
      <w:bCs/>
      <w:smallCaps/>
      <w:color w:val="092B57" w:themeColor="text1"/>
    </w:rPr>
  </w:style>
  <w:style w:type="paragraph" w:styleId="TOCHeading">
    <w:name w:val="TOC Heading"/>
    <w:basedOn w:val="Heading1"/>
    <w:next w:val="Normal"/>
    <w:uiPriority w:val="39"/>
    <w:unhideWhenUsed/>
    <w:qFormat/>
    <w:rsid w:val="007D256E"/>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F86700"/>
    <w:pPr>
      <w:jc w:val="center"/>
    </w:pPr>
    <w:rPr>
      <w:rFonts w:ascii="Segoe UI" w:hAnsi="Segoe UI"/>
      <w:caps/>
      <w:color w:val="C00000"/>
      <w:sz w:val="18"/>
    </w:rPr>
  </w:style>
  <w:style w:type="paragraph" w:customStyle="1" w:styleId="B1-Heading1">
    <w:name w:val="B1 - Heading 1"/>
    <w:basedOn w:val="B1-Body"/>
    <w:next w:val="B1-Body"/>
    <w:link w:val="B1-Heading1Char"/>
    <w:uiPriority w:val="6"/>
    <w:qFormat/>
    <w:rsid w:val="007A5115"/>
    <w:pPr>
      <w:spacing w:line="240" w:lineRule="auto"/>
      <w:outlineLvl w:val="1"/>
    </w:pPr>
    <w:rPr>
      <w:b/>
      <w:color w:val="0C3D7B" w:themeColor="text1" w:themeTint="E6"/>
      <w:sz w:val="32"/>
      <w:szCs w:val="32"/>
    </w:rPr>
  </w:style>
  <w:style w:type="character" w:customStyle="1" w:styleId="CLASSIFICATIONChar">
    <w:name w:val="CLASSIFICATION Char"/>
    <w:basedOn w:val="DefaultParagraphFont"/>
    <w:link w:val="CLASSIFICATION"/>
    <w:uiPriority w:val="99"/>
    <w:rsid w:val="00F86700"/>
    <w:rPr>
      <w:rFonts w:ascii="Segoe UI" w:hAnsi="Segoe UI"/>
      <w:caps/>
      <w:color w:val="C00000"/>
      <w:sz w:val="18"/>
    </w:rPr>
  </w:style>
  <w:style w:type="paragraph" w:customStyle="1" w:styleId="B1-Body">
    <w:name w:val="B1 - Body"/>
    <w:basedOn w:val="Normal"/>
    <w:link w:val="B1-BodyChar"/>
    <w:uiPriority w:val="4"/>
    <w:qFormat/>
    <w:rsid w:val="009D296A"/>
    <w:pPr>
      <w:pBdr>
        <w:top w:val="single" w:sz="48" w:space="1" w:color="EEEDF6" w:themeColor="accent1" w:themeTint="33"/>
        <w:left w:val="single" w:sz="48" w:space="4" w:color="EEEDF6" w:themeColor="accent1" w:themeTint="33"/>
        <w:bottom w:val="single" w:sz="48" w:space="1" w:color="EEEDF6" w:themeColor="accent1" w:themeTint="33"/>
        <w:right w:val="single" w:sz="48" w:space="4" w:color="EEEDF6" w:themeColor="accent1" w:themeTint="33"/>
      </w:pBdr>
      <w:shd w:val="clear" w:color="auto" w:fill="EEEDF6" w:themeFill="accent1" w:themeFillTint="33"/>
      <w:tabs>
        <w:tab w:val="left" w:pos="3300"/>
      </w:tabs>
      <w:spacing w:after="120"/>
      <w:ind w:left="227" w:right="227"/>
    </w:pPr>
    <w:rPr>
      <w:rFonts w:eastAsia="Times New Roman"/>
      <w:color w:val="092B57" w:themeColor="accent6"/>
      <w:sz w:val="20"/>
      <w:szCs w:val="20"/>
      <w:lang w:val="en-US"/>
    </w:rPr>
  </w:style>
  <w:style w:type="paragraph" w:customStyle="1" w:styleId="B1-Listbullets">
    <w:name w:val="B1 - List bullets"/>
    <w:basedOn w:val="B1-Body"/>
    <w:uiPriority w:val="5"/>
    <w:qFormat/>
    <w:rsid w:val="00B81B93"/>
    <w:pPr>
      <w:numPr>
        <w:numId w:val="1"/>
      </w:numPr>
    </w:pPr>
    <w:rPr>
      <w:szCs w:val="24"/>
    </w:r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CECAE4" w:themeColor="accent1" w:themeTint="99"/>
        <w:left w:val="single" w:sz="4" w:space="0" w:color="CECAE4" w:themeColor="accent1" w:themeTint="99"/>
        <w:bottom w:val="single" w:sz="4" w:space="0" w:color="CECAE4" w:themeColor="accent1" w:themeTint="99"/>
        <w:right w:val="single" w:sz="4" w:space="0" w:color="CECAE4" w:themeColor="accent1" w:themeTint="99"/>
        <w:insideH w:val="single" w:sz="4" w:space="0" w:color="CECAE4" w:themeColor="accent1" w:themeTint="99"/>
      </w:tblBorders>
    </w:tblPr>
    <w:tblStylePr w:type="firstRow">
      <w:rPr>
        <w:b/>
        <w:bCs/>
        <w:color w:val="FFFFFF" w:themeColor="background1"/>
      </w:rPr>
      <w:tblPr/>
      <w:tcPr>
        <w:tcBorders>
          <w:top w:val="single" w:sz="4" w:space="0" w:color="AEA8D3" w:themeColor="accent1"/>
          <w:left w:val="single" w:sz="4" w:space="0" w:color="AEA8D3" w:themeColor="accent1"/>
          <w:bottom w:val="single" w:sz="4" w:space="0" w:color="AEA8D3" w:themeColor="accent1"/>
          <w:right w:val="single" w:sz="4" w:space="0" w:color="AEA8D3" w:themeColor="accent1"/>
          <w:insideH w:val="nil"/>
        </w:tcBorders>
        <w:shd w:val="clear" w:color="auto" w:fill="AEA8D3" w:themeFill="accent1"/>
      </w:tcPr>
    </w:tblStylePr>
    <w:tblStylePr w:type="lastRow">
      <w:rPr>
        <w:b/>
        <w:bCs/>
      </w:rPr>
      <w:tblPr/>
      <w:tcPr>
        <w:tcBorders>
          <w:top w:val="double" w:sz="4" w:space="0" w:color="CECAE4" w:themeColor="accent1" w:themeTint="99"/>
        </w:tcBorders>
      </w:tcPr>
    </w:tblStylePr>
    <w:tblStylePr w:type="firstCol">
      <w:rPr>
        <w:b/>
        <w:bCs/>
      </w:rPr>
    </w:tblStylePr>
    <w:tblStylePr w:type="lastCol">
      <w:rPr>
        <w:b/>
        <w:bCs/>
      </w:rPr>
    </w:tblStylePr>
    <w:tblStylePr w:type="band1Vert">
      <w:tblPr/>
      <w:tcPr>
        <w:shd w:val="clear" w:color="auto" w:fill="EEEDF6" w:themeFill="accent1" w:themeFillTint="33"/>
      </w:tcPr>
    </w:tblStylePr>
    <w:tblStylePr w:type="band1Horz">
      <w:tblPr/>
      <w:tcPr>
        <w:shd w:val="clear" w:color="auto" w:fill="EEEDF6" w:themeFill="accent1" w:themeFillTint="33"/>
      </w:tcPr>
    </w:tblStylePr>
  </w:style>
  <w:style w:type="paragraph" w:customStyle="1" w:styleId="Figure">
    <w:name w:val="Figure"/>
    <w:basedOn w:val="Normal"/>
    <w:uiPriority w:val="2"/>
    <w:qFormat/>
    <w:rsid w:val="00C53CA3"/>
    <w:pPr>
      <w:numPr>
        <w:numId w:val="6"/>
      </w:numPr>
      <w:spacing w:before="240"/>
      <w:ind w:left="993" w:hanging="993"/>
    </w:pPr>
    <w:rPr>
      <w:rFonts w:ascii="Segoe UI" w:hAnsi="Segoe UI" w:cs="Segoe UI"/>
      <w:color w:val="092B57" w:themeColor="text1"/>
    </w:rPr>
  </w:style>
  <w:style w:type="paragraph" w:customStyle="1" w:styleId="TBLHeading">
    <w:name w:val="TBL Heading"/>
    <w:basedOn w:val="Normal"/>
    <w:autoRedefine/>
    <w:uiPriority w:val="11"/>
    <w:qFormat/>
    <w:rsid w:val="007D256E"/>
    <w:pPr>
      <w:spacing w:after="0" w:line="240" w:lineRule="auto"/>
    </w:pPr>
    <w:rPr>
      <w:rFonts w:ascii="Segoe UI" w:hAnsi="Segoe UI" w:cs="Segoe UI"/>
      <w:sz w:val="28"/>
    </w:rPr>
  </w:style>
  <w:style w:type="paragraph" w:customStyle="1" w:styleId="TBLText">
    <w:name w:val="TBL Text"/>
    <w:basedOn w:val="Normal"/>
    <w:uiPriority w:val="9"/>
    <w:qFormat/>
    <w:rsid w:val="00996E13"/>
    <w:pPr>
      <w:spacing w:after="0" w:line="240" w:lineRule="auto"/>
    </w:pPr>
    <w:rPr>
      <w:szCs w:val="18"/>
    </w:rPr>
  </w:style>
  <w:style w:type="paragraph" w:customStyle="1" w:styleId="TBLBulletedList">
    <w:name w:val="TBL Bulleted List"/>
    <w:basedOn w:val="TBLText"/>
    <w:uiPriority w:val="10"/>
    <w:qFormat/>
    <w:rsid w:val="001B2D56"/>
    <w:pPr>
      <w:numPr>
        <w:numId w:val="2"/>
      </w:numPr>
      <w:ind w:left="206" w:hanging="206"/>
    </w:pPr>
  </w:style>
  <w:style w:type="paragraph" w:customStyle="1" w:styleId="TBLNumberedList">
    <w:name w:val="TBL Numbered List"/>
    <w:basedOn w:val="TBLText"/>
    <w:uiPriority w:val="10"/>
    <w:qFormat/>
    <w:rsid w:val="00E05FA4"/>
    <w:pPr>
      <w:numPr>
        <w:numId w:val="3"/>
      </w:numPr>
      <w:ind w:left="270" w:hanging="270"/>
    </w:pPr>
  </w:style>
  <w:style w:type="paragraph" w:customStyle="1" w:styleId="B1-Heading2">
    <w:name w:val="B1 - Heading 2"/>
    <w:basedOn w:val="B1-Heading1"/>
    <w:next w:val="B1-Body"/>
    <w:uiPriority w:val="6"/>
    <w:qFormat/>
    <w:rsid w:val="00D82172"/>
    <w:pPr>
      <w:spacing w:after="80"/>
      <w:outlineLvl w:val="2"/>
    </w:pPr>
    <w:rPr>
      <w:b w:val="0"/>
    </w:r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0Bullet"/>
    <w:basedOn w:val="Normal"/>
    <w:link w:val="ListParagraphChar"/>
    <w:uiPriority w:val="34"/>
    <w:unhideWhenUsed/>
    <w:qFormat/>
    <w:rsid w:val="00BC41FA"/>
    <w:pPr>
      <w:spacing w:after="80"/>
      <w:ind w:left="720"/>
      <w:contextualSpacing/>
    </w:pPr>
    <w:rPr>
      <w:sz w:val="20"/>
    </w:rPr>
  </w:style>
  <w:style w:type="paragraph" w:customStyle="1" w:styleId="Listbullets-Level1">
    <w:name w:val="List bullets - Level 1"/>
    <w:basedOn w:val="ListParagraph"/>
    <w:uiPriority w:val="1"/>
    <w:qFormat/>
    <w:rsid w:val="002D26D4"/>
    <w:pPr>
      <w:numPr>
        <w:numId w:val="4"/>
      </w:numPr>
    </w:pPr>
    <w:rPr>
      <w:sz w:val="24"/>
    </w:rPr>
  </w:style>
  <w:style w:type="paragraph" w:customStyle="1" w:styleId="Listbullets-Level2">
    <w:name w:val="List bullets - Level 2"/>
    <w:basedOn w:val="Listbullets-Level1"/>
    <w:uiPriority w:val="1"/>
    <w:qFormat/>
    <w:rsid w:val="00BD171D"/>
    <w:pPr>
      <w:numPr>
        <w:numId w:val="9"/>
      </w:numPr>
    </w:pPr>
  </w:style>
  <w:style w:type="paragraph" w:customStyle="1" w:styleId="Listbullets-Level3">
    <w:name w:val="List bullets - Level 3"/>
    <w:basedOn w:val="ListParagraph"/>
    <w:uiPriority w:val="1"/>
    <w:qFormat/>
    <w:rsid w:val="00BD171D"/>
    <w:pPr>
      <w:numPr>
        <w:numId w:val="10"/>
      </w:numPr>
      <w:ind w:left="1135" w:hanging="284"/>
    </w:pPr>
  </w:style>
  <w:style w:type="paragraph" w:customStyle="1" w:styleId="Listnumbers-Level1">
    <w:name w:val="List numbers - Level 1"/>
    <w:basedOn w:val="ListParagraph"/>
    <w:uiPriority w:val="1"/>
    <w:qFormat/>
    <w:rsid w:val="00151263"/>
    <w:pPr>
      <w:numPr>
        <w:numId w:val="5"/>
      </w:numPr>
    </w:pPr>
    <w:rPr>
      <w:sz w:val="24"/>
      <w:szCs w:val="24"/>
    </w:rPr>
  </w:style>
  <w:style w:type="paragraph" w:customStyle="1" w:styleId="Listnumbers-level2">
    <w:name w:val="List numbers - level 2"/>
    <w:basedOn w:val="ListParagraph"/>
    <w:uiPriority w:val="1"/>
    <w:qFormat/>
    <w:rsid w:val="00BD171D"/>
    <w:pPr>
      <w:numPr>
        <w:ilvl w:val="1"/>
        <w:numId w:val="5"/>
      </w:numPr>
    </w:pPr>
  </w:style>
  <w:style w:type="paragraph" w:customStyle="1" w:styleId="Listnumbers-Level3">
    <w:name w:val="List numbers - Level 3"/>
    <w:basedOn w:val="ListParagraph"/>
    <w:uiPriority w:val="1"/>
    <w:qFormat/>
    <w:rsid w:val="00BD171D"/>
    <w:pPr>
      <w:numPr>
        <w:ilvl w:val="2"/>
        <w:numId w:val="5"/>
      </w:numPr>
    </w:pPr>
  </w:style>
  <w:style w:type="paragraph" w:customStyle="1" w:styleId="B2-Heading1">
    <w:name w:val="B2 - Heading 1"/>
    <w:basedOn w:val="B2-Body"/>
    <w:next w:val="B2-Body"/>
    <w:link w:val="B2-Heading1Char"/>
    <w:uiPriority w:val="9"/>
    <w:qFormat/>
    <w:rsid w:val="007A5115"/>
    <w:pPr>
      <w:spacing w:line="240" w:lineRule="auto"/>
    </w:pPr>
    <w:rPr>
      <w:b/>
      <w:sz w:val="32"/>
    </w:rPr>
  </w:style>
  <w:style w:type="paragraph" w:styleId="TOC1">
    <w:name w:val="toc 1"/>
    <w:basedOn w:val="Normal"/>
    <w:next w:val="Normal"/>
    <w:autoRedefine/>
    <w:uiPriority w:val="39"/>
    <w:unhideWhenUsed/>
    <w:rsid w:val="00285C80"/>
    <w:pPr>
      <w:tabs>
        <w:tab w:val="right" w:leader="dot" w:pos="9628"/>
      </w:tabs>
      <w:spacing w:before="200" w:after="100"/>
    </w:pPr>
    <w:rPr>
      <w:b/>
      <w:noProof/>
    </w:rPr>
  </w:style>
  <w:style w:type="paragraph" w:styleId="TOC2">
    <w:name w:val="toc 2"/>
    <w:basedOn w:val="Normal"/>
    <w:next w:val="Normal"/>
    <w:autoRedefine/>
    <w:uiPriority w:val="39"/>
    <w:unhideWhenUsed/>
    <w:rsid w:val="00CB58EC"/>
    <w:pPr>
      <w:tabs>
        <w:tab w:val="right" w:leader="dot" w:pos="9628"/>
      </w:tabs>
      <w:spacing w:after="100"/>
      <w:ind w:left="220"/>
    </w:pPr>
    <w:rPr>
      <w:noProof/>
    </w:rPr>
  </w:style>
  <w:style w:type="paragraph" w:styleId="TOC3">
    <w:name w:val="toc 3"/>
    <w:basedOn w:val="Normal"/>
    <w:next w:val="Normal"/>
    <w:autoRedefine/>
    <w:uiPriority w:val="39"/>
    <w:unhideWhenUsed/>
    <w:rsid w:val="007658BE"/>
    <w:pPr>
      <w:tabs>
        <w:tab w:val="right" w:leader="dot" w:pos="9628"/>
      </w:tabs>
      <w:spacing w:after="100"/>
      <w:ind w:left="440"/>
    </w:pPr>
  </w:style>
  <w:style w:type="character" w:styleId="Hyperlink">
    <w:name w:val="Hyperlink"/>
    <w:basedOn w:val="DefaultParagraphFont"/>
    <w:uiPriority w:val="99"/>
    <w:unhideWhenUsed/>
    <w:rsid w:val="00996E13"/>
    <w:rPr>
      <w:rFonts w:ascii="Segoe UI" w:hAnsi="Segoe UI"/>
      <w:color w:val="1B375C" w:themeColor="hyperlink"/>
      <w:sz w:val="24"/>
      <w:u w:val="single"/>
    </w:rPr>
  </w:style>
  <w:style w:type="paragraph" w:customStyle="1" w:styleId="B2-Heading2">
    <w:name w:val="B2 - Heading 2"/>
    <w:basedOn w:val="B2-Heading1"/>
    <w:link w:val="B2-Heading2Char"/>
    <w:uiPriority w:val="9"/>
    <w:qFormat/>
    <w:rsid w:val="00627290"/>
    <w:rPr>
      <w:b w:val="0"/>
      <w:sz w:val="36"/>
    </w:rPr>
  </w:style>
  <w:style w:type="paragraph" w:customStyle="1" w:styleId="B2-Body">
    <w:name w:val="B2 - Body"/>
    <w:basedOn w:val="B1-Body"/>
    <w:link w:val="B2-BodyChar"/>
    <w:uiPriority w:val="7"/>
    <w:rsid w:val="00036C37"/>
    <w:pPr>
      <w:pBdr>
        <w:top w:val="single" w:sz="48" w:space="1" w:color="E0CCE0" w:themeColor="text2" w:themeTint="66"/>
        <w:left w:val="single" w:sz="48" w:space="4" w:color="E0CCE0" w:themeColor="text2" w:themeTint="66"/>
        <w:bottom w:val="single" w:sz="48" w:space="1" w:color="E0CCE0" w:themeColor="text2" w:themeTint="66"/>
        <w:right w:val="single" w:sz="48" w:space="4" w:color="E0CCE0" w:themeColor="text2" w:themeTint="66"/>
      </w:pBdr>
      <w:shd w:val="clear" w:color="auto" w:fill="E0CCE0" w:themeFill="text2" w:themeFillTint="66"/>
    </w:pPr>
    <w:rPr>
      <w:color w:val="auto"/>
    </w:rPr>
  </w:style>
  <w:style w:type="paragraph" w:customStyle="1" w:styleId="B2-Listbullets">
    <w:name w:val="B2 - List bullets"/>
    <w:basedOn w:val="B1-Listbullets"/>
    <w:uiPriority w:val="8"/>
    <w:rsid w:val="00036C37"/>
    <w:pPr>
      <w:pBdr>
        <w:top w:val="single" w:sz="48" w:space="1" w:color="E0CCE0" w:themeColor="text2" w:themeTint="66"/>
        <w:left w:val="single" w:sz="48" w:space="4" w:color="E0CCE0" w:themeColor="text2" w:themeTint="66"/>
        <w:bottom w:val="single" w:sz="48" w:space="1" w:color="E0CCE0" w:themeColor="text2" w:themeTint="66"/>
        <w:right w:val="single" w:sz="48" w:space="4" w:color="E0CCE0" w:themeColor="text2" w:themeTint="66"/>
      </w:pBdr>
      <w:shd w:val="clear" w:color="auto" w:fill="E0CCE0" w:themeFill="text2" w:themeFillTint="66"/>
      <w:tabs>
        <w:tab w:val="left" w:pos="3402"/>
      </w:tabs>
    </w:pPr>
    <w:rPr>
      <w:rFonts w:eastAsia="Segoe UI"/>
      <w:color w:val="auto"/>
    </w:rPr>
  </w:style>
  <w:style w:type="paragraph" w:customStyle="1" w:styleId="B1-listnumbers">
    <w:name w:val="B1 - list numbers"/>
    <w:basedOn w:val="B1-Body"/>
    <w:link w:val="B1-listnumbersChar"/>
    <w:uiPriority w:val="5"/>
    <w:qFormat/>
    <w:rsid w:val="004E5054"/>
    <w:pPr>
      <w:numPr>
        <w:numId w:val="7"/>
      </w:numPr>
      <w:ind w:left="584" w:hanging="357"/>
    </w:pPr>
  </w:style>
  <w:style w:type="paragraph" w:customStyle="1" w:styleId="B2-Listnumbers">
    <w:name w:val="B2 - List numbers"/>
    <w:basedOn w:val="B1-listnumbers"/>
    <w:uiPriority w:val="8"/>
    <w:rsid w:val="00350E6D"/>
    <w:pPr>
      <w:numPr>
        <w:numId w:val="8"/>
      </w:numPr>
      <w:pBdr>
        <w:top w:val="single" w:sz="48" w:space="1" w:color="E0CCE0" w:themeColor="text2" w:themeTint="66"/>
        <w:left w:val="single" w:sz="48" w:space="4" w:color="E0CCE0" w:themeColor="text2" w:themeTint="66"/>
        <w:bottom w:val="single" w:sz="48" w:space="1" w:color="E0CCE0" w:themeColor="text2" w:themeTint="66"/>
        <w:right w:val="single" w:sz="48" w:space="4" w:color="E0CCE0" w:themeColor="text2" w:themeTint="66"/>
      </w:pBdr>
      <w:shd w:val="clear" w:color="auto" w:fill="E0CCE0" w:themeFill="text2" w:themeFillTint="66"/>
      <w:ind w:left="584" w:hanging="357"/>
    </w:pPr>
    <w:rPr>
      <w:color w:val="auto"/>
    </w:rPr>
  </w:style>
  <w:style w:type="table" w:customStyle="1" w:styleId="Custom1">
    <w:name w:val="Custom 1"/>
    <w:basedOn w:val="TableNormal"/>
    <w:uiPriority w:val="99"/>
    <w:rsid w:val="00665FB6"/>
    <w:pPr>
      <w:spacing w:after="0" w:line="240" w:lineRule="auto"/>
    </w:pPr>
    <w:rPr>
      <w:sz w:val="18"/>
    </w:rPr>
    <w:tblPr>
      <w:tblStyleRowBandSize w:val="1"/>
      <w:tblBorders>
        <w:top w:val="single" w:sz="4" w:space="0" w:color="AEA8D3" w:themeColor="accent1"/>
        <w:bottom w:val="single" w:sz="12" w:space="0" w:color="AEA8D3" w:themeColor="accent1"/>
        <w:insideH w:val="single" w:sz="4" w:space="0" w:color="AEA8D3" w:themeColor="accent1"/>
      </w:tblBorders>
      <w:tblCellMar>
        <w:top w:w="57" w:type="dxa"/>
        <w:bottom w:w="57" w:type="dxa"/>
      </w:tblCellMar>
    </w:tblPr>
    <w:tblStylePr w:type="firstRow">
      <w:rPr>
        <w:rFonts w:asciiTheme="minorHAnsi" w:hAnsiTheme="minorHAnsi"/>
        <w:b/>
        <w:sz w:val="18"/>
      </w:rPr>
      <w:tblPr/>
      <w:tcPr>
        <w:shd w:val="clear" w:color="auto" w:fill="AEA8D3" w:themeFill="accent1"/>
      </w:tcPr>
    </w:tblStylePr>
    <w:tblStylePr w:type="band1Horz">
      <w:tblPr/>
      <w:tcPr>
        <w:shd w:val="clear" w:color="auto" w:fill="F5A37D" w:themeFill="background2"/>
      </w:tcPr>
    </w:tblStylePr>
  </w:style>
  <w:style w:type="table" w:customStyle="1" w:styleId="Style1">
    <w:name w:val="Style1"/>
    <w:basedOn w:val="Custom1"/>
    <w:uiPriority w:val="99"/>
    <w:rsid w:val="00D500C1"/>
    <w:tblPr>
      <w:tblBorders>
        <w:top w:val="none" w:sz="0" w:space="0" w:color="auto"/>
        <w:left w:val="single" w:sz="4" w:space="0" w:color="AEA8D3" w:themeColor="accent1"/>
        <w:bottom w:val="single" w:sz="4" w:space="0" w:color="AEA8D3" w:themeColor="accent1"/>
        <w:right w:val="single" w:sz="4" w:space="0" w:color="AEA8D3" w:themeColor="accent1"/>
        <w:insideH w:val="none" w:sz="0" w:space="0" w:color="auto"/>
        <w:insideV w:val="single" w:sz="4" w:space="0" w:color="AEA8D3" w:themeColor="accent1"/>
      </w:tblBorders>
    </w:tblPr>
    <w:tblStylePr w:type="firstRow">
      <w:rPr>
        <w:rFonts w:asciiTheme="minorHAnsi" w:hAnsiTheme="minorHAnsi"/>
        <w:b/>
        <w:sz w:val="18"/>
      </w:rPr>
      <w:tblPr/>
      <w:tcPr>
        <w:shd w:val="clear" w:color="auto" w:fill="AEA8D3" w:themeFill="accent1"/>
      </w:tcPr>
    </w:tblStylePr>
    <w:tblStylePr w:type="firstCol">
      <w:rPr>
        <w:b/>
      </w:rPr>
      <w:tblPr/>
      <w:tcPr>
        <w:shd w:val="clear" w:color="auto" w:fill="AEA8D3" w:themeFill="accent1"/>
      </w:tcPr>
    </w:tblStylePr>
    <w:tblStylePr w:type="band1Horz">
      <w:tblPr/>
      <w:tcPr>
        <w:shd w:val="clear" w:color="auto" w:fill="F5A37D" w:themeFill="background2"/>
      </w:tcPr>
    </w:tblStylePr>
  </w:style>
  <w:style w:type="paragraph" w:styleId="FootnoteText">
    <w:name w:val="footnote text"/>
    <w:basedOn w:val="Normal"/>
    <w:link w:val="FootnoteTextChar"/>
    <w:uiPriority w:val="99"/>
    <w:unhideWhenUsed/>
    <w:rsid w:val="00BB74C4"/>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rsid w:val="00BB74C4"/>
    <w:rPr>
      <w:rFonts w:ascii="Arial" w:hAnsi="Arial"/>
      <w:sz w:val="20"/>
      <w:szCs w:val="20"/>
    </w:rPr>
  </w:style>
  <w:style w:type="character" w:styleId="FootnoteReference">
    <w:name w:val="footnote reference"/>
    <w:basedOn w:val="DefaultParagraphFont"/>
    <w:uiPriority w:val="99"/>
    <w:semiHidden/>
    <w:unhideWhenUsed/>
    <w:rsid w:val="00BB74C4"/>
    <w:rPr>
      <w:vertAlign w:val="superscript"/>
    </w:rPr>
  </w:style>
  <w:style w:type="paragraph" w:customStyle="1" w:styleId="B3-Heading2">
    <w:name w:val="B3 - Heading 2"/>
    <w:basedOn w:val="B2-Heading2"/>
    <w:qFormat/>
    <w:rsid w:val="00A439CD"/>
    <w:pPr>
      <w:pBdr>
        <w:top w:val="single" w:sz="48" w:space="1" w:color="F9C7B1" w:themeColor="accent2" w:themeTint="99"/>
        <w:left w:val="single" w:sz="48" w:space="4" w:color="F9C7B1" w:themeColor="accent2" w:themeTint="99"/>
        <w:bottom w:val="single" w:sz="48" w:space="1" w:color="F9C7B1" w:themeColor="accent2" w:themeTint="99"/>
        <w:right w:val="single" w:sz="48" w:space="4" w:color="F9C7B1" w:themeColor="accent2" w:themeTint="99"/>
      </w:pBdr>
      <w:shd w:val="clear" w:color="auto" w:fill="F9C7B1" w:themeFill="accent2" w:themeFillTint="99"/>
    </w:pPr>
  </w:style>
  <w:style w:type="paragraph" w:customStyle="1" w:styleId="B3-Body">
    <w:name w:val="B3 - Body"/>
    <w:basedOn w:val="B2-Body"/>
    <w:qFormat/>
    <w:rsid w:val="00A439CD"/>
    <w:pPr>
      <w:pBdr>
        <w:top w:val="single" w:sz="48" w:space="1" w:color="F9C7B1" w:themeColor="accent2" w:themeTint="99"/>
        <w:left w:val="single" w:sz="48" w:space="4" w:color="F9C7B1" w:themeColor="accent2" w:themeTint="99"/>
        <w:bottom w:val="single" w:sz="48" w:space="1" w:color="F9C7B1" w:themeColor="accent2" w:themeTint="99"/>
        <w:right w:val="single" w:sz="48" w:space="4" w:color="F9C7B1" w:themeColor="accent2" w:themeTint="99"/>
      </w:pBdr>
      <w:shd w:val="clear" w:color="auto" w:fill="F9C7B1" w:themeFill="accent2" w:themeFillTint="99"/>
    </w:pPr>
  </w:style>
  <w:style w:type="character" w:styleId="CommentReference">
    <w:name w:val="annotation reference"/>
    <w:basedOn w:val="DefaultParagraphFont"/>
    <w:uiPriority w:val="99"/>
    <w:semiHidden/>
    <w:unhideWhenUsed/>
    <w:rsid w:val="00B36006"/>
    <w:rPr>
      <w:sz w:val="16"/>
      <w:szCs w:val="16"/>
    </w:rPr>
  </w:style>
  <w:style w:type="paragraph" w:styleId="CommentText">
    <w:name w:val="annotation text"/>
    <w:basedOn w:val="Normal"/>
    <w:link w:val="CommentTextChar"/>
    <w:uiPriority w:val="99"/>
    <w:unhideWhenUsed/>
    <w:rsid w:val="00B36006"/>
    <w:pPr>
      <w:spacing w:line="240" w:lineRule="auto"/>
    </w:pPr>
    <w:rPr>
      <w:sz w:val="20"/>
      <w:szCs w:val="20"/>
    </w:rPr>
  </w:style>
  <w:style w:type="character" w:customStyle="1" w:styleId="CommentTextChar">
    <w:name w:val="Comment Text Char"/>
    <w:basedOn w:val="DefaultParagraphFont"/>
    <w:link w:val="CommentText"/>
    <w:uiPriority w:val="99"/>
    <w:rsid w:val="00B36006"/>
    <w:rPr>
      <w:sz w:val="20"/>
      <w:szCs w:val="20"/>
    </w:rPr>
  </w:style>
  <w:style w:type="paragraph" w:styleId="CommentSubject">
    <w:name w:val="annotation subject"/>
    <w:basedOn w:val="CommentText"/>
    <w:next w:val="CommentText"/>
    <w:link w:val="CommentSubjectChar"/>
    <w:uiPriority w:val="99"/>
    <w:semiHidden/>
    <w:unhideWhenUsed/>
    <w:rsid w:val="00B36006"/>
    <w:rPr>
      <w:b/>
      <w:bCs/>
    </w:rPr>
  </w:style>
  <w:style w:type="character" w:customStyle="1" w:styleId="CommentSubjectChar">
    <w:name w:val="Comment Subject Char"/>
    <w:basedOn w:val="CommentTextChar"/>
    <w:link w:val="CommentSubject"/>
    <w:uiPriority w:val="99"/>
    <w:semiHidden/>
    <w:rsid w:val="00B36006"/>
    <w:rPr>
      <w:b/>
      <w:bCs/>
      <w:sz w:val="20"/>
      <w:szCs w:val="20"/>
    </w:rPr>
  </w:style>
  <w:style w:type="character" w:styleId="FollowedHyperlink">
    <w:name w:val="FollowedHyperlink"/>
    <w:basedOn w:val="DefaultParagraphFont"/>
    <w:uiPriority w:val="99"/>
    <w:semiHidden/>
    <w:unhideWhenUsed/>
    <w:rsid w:val="00F35100"/>
    <w:rPr>
      <w:color w:val="B75B53" w:themeColor="followedHyperlink"/>
      <w:u w:val="single"/>
    </w:rPr>
  </w:style>
  <w:style w:type="paragraph" w:styleId="Revision">
    <w:name w:val="Revision"/>
    <w:hidden/>
    <w:uiPriority w:val="99"/>
    <w:semiHidden/>
    <w:rsid w:val="00F95179"/>
    <w:pPr>
      <w:spacing w:after="0" w:line="240" w:lineRule="auto"/>
    </w:pPr>
    <w:rPr>
      <w:sz w:val="24"/>
    </w:rPr>
  </w:style>
  <w:style w:type="character" w:customStyle="1" w:styleId="UnresolvedMention1">
    <w:name w:val="Unresolved Mention1"/>
    <w:basedOn w:val="DefaultParagraphFont"/>
    <w:uiPriority w:val="99"/>
    <w:semiHidden/>
    <w:unhideWhenUsed/>
    <w:rsid w:val="00B4327A"/>
    <w:rPr>
      <w:color w:val="605E5C"/>
      <w:shd w:val="clear" w:color="auto" w:fill="E1DFDD"/>
    </w:rPr>
  </w:style>
  <w:style w:type="paragraph" w:customStyle="1" w:styleId="Heading2ToR">
    <w:name w:val="Heading 2 (ToR)"/>
    <w:basedOn w:val="Normal"/>
    <w:qFormat/>
    <w:rsid w:val="005A4960"/>
    <w:pPr>
      <w:spacing w:line="281" w:lineRule="auto"/>
      <w:outlineLvl w:val="1"/>
    </w:pPr>
    <w:rPr>
      <w:rFonts w:cstheme="minorHAnsi"/>
      <w:b/>
      <w:lang w:val="en-US"/>
    </w:rPr>
  </w:style>
  <w:style w:type="paragraph" w:customStyle="1" w:styleId="Heading3ToR">
    <w:name w:val="Heading 3 (ToR)"/>
    <w:basedOn w:val="Normal"/>
    <w:qFormat/>
    <w:rsid w:val="005A4960"/>
    <w:pPr>
      <w:spacing w:line="281" w:lineRule="auto"/>
      <w:outlineLvl w:val="2"/>
    </w:pPr>
    <w:rPr>
      <w:rFonts w:cstheme="minorHAnsi"/>
      <w:b/>
      <w:lang w:val="en-US"/>
    </w:rPr>
  </w:style>
  <w:style w:type="paragraph" w:styleId="NormalWeb">
    <w:name w:val="Normal (Web)"/>
    <w:basedOn w:val="Normal"/>
    <w:uiPriority w:val="99"/>
    <w:unhideWhenUsed/>
    <w:rsid w:val="005429CE"/>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link w:val="ListParagraph"/>
    <w:qFormat/>
    <w:locked/>
    <w:rsid w:val="00BC41FA"/>
    <w:rPr>
      <w:sz w:val="20"/>
    </w:rPr>
  </w:style>
  <w:style w:type="paragraph" w:styleId="EndnoteText">
    <w:name w:val="endnote text"/>
    <w:basedOn w:val="Normal"/>
    <w:link w:val="EndnoteTextChar"/>
    <w:uiPriority w:val="99"/>
    <w:unhideWhenUsed/>
    <w:qFormat/>
    <w:rsid w:val="003B213D"/>
    <w:pPr>
      <w:spacing w:after="0" w:line="240" w:lineRule="auto"/>
    </w:pPr>
    <w:rPr>
      <w:sz w:val="20"/>
      <w:szCs w:val="20"/>
    </w:rPr>
  </w:style>
  <w:style w:type="character" w:customStyle="1" w:styleId="EndnoteTextChar">
    <w:name w:val="Endnote Text Char"/>
    <w:basedOn w:val="DefaultParagraphFont"/>
    <w:link w:val="EndnoteText"/>
    <w:uiPriority w:val="99"/>
    <w:rsid w:val="003B213D"/>
    <w:rPr>
      <w:sz w:val="20"/>
      <w:szCs w:val="20"/>
    </w:rPr>
  </w:style>
  <w:style w:type="character" w:styleId="EndnoteReference">
    <w:name w:val="endnote reference"/>
    <w:basedOn w:val="DefaultParagraphFont"/>
    <w:uiPriority w:val="99"/>
    <w:unhideWhenUsed/>
    <w:qFormat/>
    <w:rsid w:val="003B213D"/>
    <w:rPr>
      <w:vertAlign w:val="superscript"/>
    </w:rPr>
  </w:style>
  <w:style w:type="character" w:customStyle="1" w:styleId="CoverLevel1">
    <w:name w:val="Cover Level 1"/>
    <w:basedOn w:val="DefaultParagraphFont"/>
    <w:uiPriority w:val="1"/>
    <w:qFormat/>
    <w:rsid w:val="005A4960"/>
    <w:rPr>
      <w:rFonts w:asciiTheme="majorHAnsi" w:hAnsiTheme="majorHAnsi" w:cs="Arial"/>
      <w:spacing w:val="-10"/>
      <w:kern w:val="28"/>
      <w:szCs w:val="56"/>
      <w:shd w:val="clear" w:color="auto" w:fill="AEA8D3" w:themeFill="accent1"/>
      <w:lang w:val="en-US"/>
    </w:rPr>
  </w:style>
  <w:style w:type="paragraph" w:customStyle="1" w:styleId="B1-Heading3">
    <w:name w:val="B1 - Heading 3"/>
    <w:basedOn w:val="B1-Heading2"/>
    <w:next w:val="B1-Body"/>
    <w:qFormat/>
    <w:rsid w:val="00987367"/>
    <w:pPr>
      <w:outlineLvl w:val="3"/>
    </w:pPr>
    <w:rPr>
      <w:rFonts w:eastAsia="Segoe UI"/>
      <w:color w:val="092B57" w:themeColor="text1"/>
      <w:sz w:val="28"/>
      <w:szCs w:val="28"/>
    </w:rPr>
  </w:style>
  <w:style w:type="paragraph" w:customStyle="1" w:styleId="EndNoteBibliographyTitle">
    <w:name w:val="EndNote Bibliography Title"/>
    <w:basedOn w:val="Normal"/>
    <w:link w:val="EndNoteBibliographyTitleChar"/>
    <w:rsid w:val="00CA2930"/>
    <w:pPr>
      <w:spacing w:after="0"/>
      <w:jc w:val="center"/>
    </w:pPr>
    <w:rPr>
      <w:rFonts w:ascii="Segoe UI" w:hAnsi="Segoe UI" w:cs="Segoe UI"/>
      <w:noProof/>
      <w:lang w:val="en-US"/>
    </w:rPr>
  </w:style>
  <w:style w:type="character" w:customStyle="1" w:styleId="EndNoteBibliographyTitleChar">
    <w:name w:val="EndNote Bibliography Title Char"/>
    <w:basedOn w:val="DefaultParagraphFont"/>
    <w:link w:val="EndNoteBibliographyTitle"/>
    <w:rsid w:val="00CA2930"/>
    <w:rPr>
      <w:rFonts w:ascii="Segoe UI" w:hAnsi="Segoe UI" w:cs="Segoe UI"/>
      <w:noProof/>
      <w:sz w:val="24"/>
      <w:lang w:val="en-US"/>
    </w:rPr>
  </w:style>
  <w:style w:type="paragraph" w:customStyle="1" w:styleId="EndNoteBibliography">
    <w:name w:val="EndNote Bibliography"/>
    <w:basedOn w:val="Normal"/>
    <w:link w:val="EndNoteBibliographyChar"/>
    <w:rsid w:val="00CA2930"/>
    <w:pPr>
      <w:spacing w:line="240" w:lineRule="auto"/>
    </w:pPr>
    <w:rPr>
      <w:rFonts w:ascii="Segoe UI" w:hAnsi="Segoe UI" w:cs="Segoe UI"/>
      <w:noProof/>
      <w:lang w:val="en-US"/>
    </w:rPr>
  </w:style>
  <w:style w:type="character" w:customStyle="1" w:styleId="EndNoteBibliographyChar">
    <w:name w:val="EndNote Bibliography Char"/>
    <w:basedOn w:val="DefaultParagraphFont"/>
    <w:link w:val="EndNoteBibliography"/>
    <w:rsid w:val="00CA2930"/>
    <w:rPr>
      <w:rFonts w:ascii="Segoe UI" w:hAnsi="Segoe UI" w:cs="Segoe UI"/>
      <w:noProof/>
      <w:sz w:val="24"/>
      <w:lang w:val="en-US"/>
    </w:rPr>
  </w:style>
  <w:style w:type="character" w:customStyle="1" w:styleId="field">
    <w:name w:val="field"/>
    <w:basedOn w:val="DefaultParagraphFont"/>
    <w:rsid w:val="00CA2930"/>
  </w:style>
  <w:style w:type="paragraph" w:customStyle="1" w:styleId="subsection">
    <w:name w:val="subsection"/>
    <w:basedOn w:val="Normal"/>
    <w:rsid w:val="00CA2930"/>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paragraph">
    <w:name w:val="paragraph"/>
    <w:basedOn w:val="Normal"/>
    <w:rsid w:val="00CA2930"/>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paragraphsub">
    <w:name w:val="paragraphsub"/>
    <w:basedOn w:val="Normal"/>
    <w:rsid w:val="00CA2930"/>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ui-provider">
    <w:name w:val="ui-provider"/>
    <w:basedOn w:val="DefaultParagraphFont"/>
    <w:rsid w:val="00CA2930"/>
  </w:style>
  <w:style w:type="table" w:styleId="PlainTable3">
    <w:name w:val="Plain Table 3"/>
    <w:basedOn w:val="TableNormal"/>
    <w:uiPriority w:val="43"/>
    <w:rsid w:val="00CA2930"/>
    <w:pPr>
      <w:spacing w:after="0" w:line="240" w:lineRule="auto"/>
    </w:pPr>
    <w:tblPr>
      <w:tblStyleRowBandSize w:val="1"/>
      <w:tblStyleColBandSize w:val="1"/>
    </w:tblPr>
    <w:tblStylePr w:type="firstRow">
      <w:rPr>
        <w:b/>
        <w:bCs/>
        <w:caps/>
      </w:rPr>
      <w:tblPr/>
      <w:tcPr>
        <w:tcBorders>
          <w:bottom w:val="single" w:sz="4" w:space="0" w:color="428CE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28CE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3">
    <w:name w:val="Grid Table 5 Dark Accent 3"/>
    <w:basedOn w:val="TableNormal"/>
    <w:uiPriority w:val="50"/>
    <w:rsid w:val="00CA29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3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3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3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37" w:themeFill="accent3"/>
      </w:tcPr>
    </w:tblStylePr>
    <w:tblStylePr w:type="band1Vert">
      <w:tblPr/>
      <w:tcPr>
        <w:shd w:val="clear" w:color="auto" w:fill="F9C0AE" w:themeFill="accent3" w:themeFillTint="66"/>
      </w:tcPr>
    </w:tblStylePr>
    <w:tblStylePr w:type="band1Horz">
      <w:tblPr/>
      <w:tcPr>
        <w:shd w:val="clear" w:color="auto" w:fill="F9C0AE" w:themeFill="accent3" w:themeFillTint="66"/>
      </w:tcPr>
    </w:tblStylePr>
  </w:style>
  <w:style w:type="table" w:styleId="GridTable5Dark">
    <w:name w:val="Grid Table 5 Dark"/>
    <w:basedOn w:val="TableNormal"/>
    <w:uiPriority w:val="50"/>
    <w:rsid w:val="00CA29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D1F7"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2B57"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2B57"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2B5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2B57" w:themeFill="text1"/>
      </w:tcPr>
    </w:tblStylePr>
    <w:tblStylePr w:type="band1Vert">
      <w:tblPr/>
      <w:tcPr>
        <w:shd w:val="clear" w:color="auto" w:fill="68A3EF" w:themeFill="text1" w:themeFillTint="66"/>
      </w:tcPr>
    </w:tblStylePr>
    <w:tblStylePr w:type="band1Horz">
      <w:tblPr/>
      <w:tcPr>
        <w:shd w:val="clear" w:color="auto" w:fill="68A3EF" w:themeFill="text1" w:themeFillTint="66"/>
      </w:tcPr>
    </w:tblStylePr>
  </w:style>
  <w:style w:type="table" w:styleId="GridTable5Dark-Accent4">
    <w:name w:val="Grid Table 5 Dark Accent 4"/>
    <w:basedOn w:val="TableNormal"/>
    <w:uiPriority w:val="50"/>
    <w:rsid w:val="00CA29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D8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D8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D8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D8D8" w:themeFill="accent4"/>
      </w:tcPr>
    </w:tblStylePr>
    <w:tblStylePr w:type="band1Vert">
      <w:tblPr/>
      <w:tcPr>
        <w:shd w:val="clear" w:color="auto" w:fill="EFEFEF" w:themeFill="accent4" w:themeFillTint="66"/>
      </w:tcPr>
    </w:tblStylePr>
    <w:tblStylePr w:type="band1Horz">
      <w:tblPr/>
      <w:tcPr>
        <w:shd w:val="clear" w:color="auto" w:fill="EFEFEF" w:themeFill="accent4" w:themeFillTint="66"/>
      </w:tcPr>
    </w:tblStylePr>
  </w:style>
  <w:style w:type="table" w:styleId="GridTable5Dark-Accent5">
    <w:name w:val="Grid Table 5 Dark Accent 5"/>
    <w:basedOn w:val="TableNormal"/>
    <w:uiPriority w:val="50"/>
    <w:rsid w:val="00CA29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3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C5F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C5F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C5F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C5F5" w:themeFill="accent5"/>
      </w:tcPr>
    </w:tblStylePr>
    <w:tblStylePr w:type="band1Vert">
      <w:tblPr/>
      <w:tcPr>
        <w:shd w:val="clear" w:color="auto" w:fill="D9E7FB" w:themeFill="accent5" w:themeFillTint="66"/>
      </w:tcPr>
    </w:tblStylePr>
    <w:tblStylePr w:type="band1Horz">
      <w:tblPr/>
      <w:tcPr>
        <w:shd w:val="clear" w:color="auto" w:fill="D9E7FB" w:themeFill="accent5" w:themeFillTint="66"/>
      </w:tcPr>
    </w:tblStylePr>
  </w:style>
  <w:style w:type="table" w:styleId="PlainTable2">
    <w:name w:val="Plain Table 2"/>
    <w:basedOn w:val="TableNormal"/>
    <w:uiPriority w:val="42"/>
    <w:rsid w:val="00CA2930"/>
    <w:pPr>
      <w:spacing w:after="0" w:line="240" w:lineRule="auto"/>
    </w:pPr>
    <w:rPr>
      <w:rFonts w:eastAsiaTheme="minorHAnsi"/>
      <w:sz w:val="22"/>
      <w:szCs w:val="22"/>
    </w:rPr>
    <w:tblPr>
      <w:tblStyleRowBandSize w:val="1"/>
      <w:tblStyleColBandSize w:val="1"/>
      <w:tblBorders>
        <w:top w:val="single" w:sz="4" w:space="0" w:color="428CEB" w:themeColor="text1" w:themeTint="80"/>
        <w:bottom w:val="single" w:sz="4" w:space="0" w:color="428CEB" w:themeColor="text1" w:themeTint="80"/>
      </w:tblBorders>
    </w:tblPr>
    <w:tblStylePr w:type="firstRow">
      <w:rPr>
        <w:b/>
        <w:bCs/>
      </w:rPr>
      <w:tblPr/>
      <w:tcPr>
        <w:tcBorders>
          <w:bottom w:val="single" w:sz="4" w:space="0" w:color="428CEB" w:themeColor="text1" w:themeTint="80"/>
        </w:tcBorders>
      </w:tcPr>
    </w:tblStylePr>
    <w:tblStylePr w:type="lastRow">
      <w:rPr>
        <w:b/>
        <w:bCs/>
      </w:rPr>
      <w:tblPr/>
      <w:tcPr>
        <w:tcBorders>
          <w:top w:val="single" w:sz="4" w:space="0" w:color="428CEB" w:themeColor="text1" w:themeTint="80"/>
        </w:tcBorders>
      </w:tcPr>
    </w:tblStylePr>
    <w:tblStylePr w:type="firstCol">
      <w:rPr>
        <w:b/>
        <w:bCs/>
      </w:rPr>
    </w:tblStylePr>
    <w:tblStylePr w:type="lastCol">
      <w:rPr>
        <w:b/>
        <w:bCs/>
      </w:rPr>
    </w:tblStylePr>
    <w:tblStylePr w:type="band1Vert">
      <w:tblPr/>
      <w:tcPr>
        <w:tcBorders>
          <w:left w:val="single" w:sz="4" w:space="0" w:color="428CEB" w:themeColor="text1" w:themeTint="80"/>
          <w:right w:val="single" w:sz="4" w:space="0" w:color="428CEB" w:themeColor="text1" w:themeTint="80"/>
        </w:tcBorders>
      </w:tcPr>
    </w:tblStylePr>
    <w:tblStylePr w:type="band2Vert">
      <w:tblPr/>
      <w:tcPr>
        <w:tcBorders>
          <w:left w:val="single" w:sz="4" w:space="0" w:color="428CEB" w:themeColor="text1" w:themeTint="80"/>
          <w:right w:val="single" w:sz="4" w:space="0" w:color="428CEB" w:themeColor="text1" w:themeTint="80"/>
        </w:tcBorders>
      </w:tcPr>
    </w:tblStylePr>
    <w:tblStylePr w:type="band1Horz">
      <w:tblPr/>
      <w:tcPr>
        <w:tcBorders>
          <w:top w:val="single" w:sz="4" w:space="0" w:color="428CEB" w:themeColor="text1" w:themeTint="80"/>
          <w:bottom w:val="single" w:sz="4" w:space="0" w:color="428CEB" w:themeColor="text1" w:themeTint="80"/>
        </w:tcBorders>
      </w:tcPr>
    </w:tblStylePr>
  </w:style>
  <w:style w:type="table" w:styleId="GridTable4-Accent1">
    <w:name w:val="Grid Table 4 Accent 1"/>
    <w:basedOn w:val="TableNormal"/>
    <w:uiPriority w:val="49"/>
    <w:rsid w:val="00CA2930"/>
    <w:pPr>
      <w:spacing w:after="0" w:line="240" w:lineRule="auto"/>
    </w:pPr>
    <w:tblPr>
      <w:tblStyleRowBandSize w:val="1"/>
      <w:tblStyleColBandSize w:val="1"/>
      <w:tblBorders>
        <w:top w:val="single" w:sz="4" w:space="0" w:color="CECAE4" w:themeColor="accent1" w:themeTint="99"/>
        <w:left w:val="single" w:sz="4" w:space="0" w:color="CECAE4" w:themeColor="accent1" w:themeTint="99"/>
        <w:bottom w:val="single" w:sz="4" w:space="0" w:color="CECAE4" w:themeColor="accent1" w:themeTint="99"/>
        <w:right w:val="single" w:sz="4" w:space="0" w:color="CECAE4" w:themeColor="accent1" w:themeTint="99"/>
        <w:insideH w:val="single" w:sz="4" w:space="0" w:color="CECAE4" w:themeColor="accent1" w:themeTint="99"/>
        <w:insideV w:val="single" w:sz="4" w:space="0" w:color="CECAE4" w:themeColor="accent1" w:themeTint="99"/>
      </w:tblBorders>
    </w:tblPr>
    <w:tblStylePr w:type="firstRow">
      <w:rPr>
        <w:b/>
        <w:bCs/>
        <w:color w:val="FFFFFF" w:themeColor="background1"/>
      </w:rPr>
      <w:tblPr/>
      <w:tcPr>
        <w:tcBorders>
          <w:top w:val="single" w:sz="4" w:space="0" w:color="AEA8D3" w:themeColor="accent1"/>
          <w:left w:val="single" w:sz="4" w:space="0" w:color="AEA8D3" w:themeColor="accent1"/>
          <w:bottom w:val="single" w:sz="4" w:space="0" w:color="AEA8D3" w:themeColor="accent1"/>
          <w:right w:val="single" w:sz="4" w:space="0" w:color="AEA8D3" w:themeColor="accent1"/>
          <w:insideH w:val="nil"/>
          <w:insideV w:val="nil"/>
        </w:tcBorders>
        <w:shd w:val="clear" w:color="auto" w:fill="AEA8D3" w:themeFill="accent1"/>
      </w:tcPr>
    </w:tblStylePr>
    <w:tblStylePr w:type="lastRow">
      <w:rPr>
        <w:b/>
        <w:bCs/>
      </w:rPr>
      <w:tblPr/>
      <w:tcPr>
        <w:tcBorders>
          <w:top w:val="double" w:sz="4" w:space="0" w:color="AEA8D3" w:themeColor="accent1"/>
        </w:tcBorders>
      </w:tcPr>
    </w:tblStylePr>
    <w:tblStylePr w:type="firstCol">
      <w:rPr>
        <w:b/>
        <w:bCs/>
      </w:rPr>
    </w:tblStylePr>
    <w:tblStylePr w:type="lastCol">
      <w:rPr>
        <w:b/>
        <w:bCs/>
      </w:rPr>
    </w:tblStylePr>
    <w:tblStylePr w:type="band1Vert">
      <w:tblPr/>
      <w:tcPr>
        <w:shd w:val="clear" w:color="auto" w:fill="EEEDF6" w:themeFill="accent1" w:themeFillTint="33"/>
      </w:tcPr>
    </w:tblStylePr>
    <w:tblStylePr w:type="band1Horz">
      <w:tblPr/>
      <w:tcPr>
        <w:shd w:val="clear" w:color="auto" w:fill="EEEDF6" w:themeFill="accent1" w:themeFillTint="33"/>
      </w:tcPr>
    </w:tblStylePr>
  </w:style>
  <w:style w:type="paragraph" w:customStyle="1" w:styleId="B3-Heading1">
    <w:name w:val="B3 - Heading 1"/>
    <w:basedOn w:val="B1-Heading1"/>
    <w:link w:val="B3-Heading1Char"/>
    <w:qFormat/>
    <w:rsid w:val="00350E6D"/>
    <w:pPr>
      <w:keepNext/>
      <w:keepLines/>
      <w:pBdr>
        <w:top w:val="single" w:sz="48" w:space="1" w:color="F9C7B1" w:themeColor="accent2" w:themeTint="99"/>
        <w:left w:val="single" w:sz="48" w:space="4" w:color="F9C7B1" w:themeColor="accent2" w:themeTint="99"/>
        <w:bottom w:val="single" w:sz="48" w:space="1" w:color="F9C7B1" w:themeColor="accent2" w:themeTint="99"/>
        <w:right w:val="single" w:sz="48" w:space="4" w:color="F9C7B1" w:themeColor="accent2" w:themeTint="99"/>
      </w:pBdr>
      <w:shd w:val="clear" w:color="auto" w:fill="F9C7B1" w:themeFill="accent2" w:themeFillTint="99"/>
      <w:tabs>
        <w:tab w:val="clear" w:pos="3300"/>
      </w:tabs>
      <w:spacing w:before="240"/>
    </w:pPr>
    <w:rPr>
      <w:rFonts w:ascii="Segoe UI" w:eastAsiaTheme="majorEastAsia" w:hAnsi="Segoe UI" w:cstheme="majorBidi"/>
      <w:color w:val="000000"/>
      <w:szCs w:val="28"/>
      <w14:textFill>
        <w14:solidFill>
          <w14:srgbClr w14:val="000000">
            <w14:lumMod w14:val="90000"/>
            <w14:lumOff w14:val="10000"/>
          </w14:srgbClr>
        </w14:solidFill>
      </w14:textFill>
    </w:rPr>
  </w:style>
  <w:style w:type="paragraph" w:customStyle="1" w:styleId="B3-Listnumbers">
    <w:name w:val="B3 - List numbers"/>
    <w:basedOn w:val="B1-listnumbers"/>
    <w:link w:val="B3-ListnumbersChar"/>
    <w:qFormat/>
    <w:rsid w:val="00A439CD"/>
    <w:pPr>
      <w:pBdr>
        <w:top w:val="single" w:sz="48" w:space="1" w:color="F9C7B1" w:themeColor="accent2" w:themeTint="99"/>
        <w:left w:val="single" w:sz="48" w:space="4" w:color="F9C7B1" w:themeColor="accent2" w:themeTint="99"/>
        <w:bottom w:val="single" w:sz="48" w:space="1" w:color="F9C7B1" w:themeColor="accent2" w:themeTint="99"/>
        <w:right w:val="single" w:sz="48" w:space="4" w:color="F9C7B1" w:themeColor="accent2" w:themeTint="99"/>
      </w:pBdr>
      <w:shd w:val="clear" w:color="auto" w:fill="F9C7B1" w:themeFill="accent2" w:themeFillTint="99"/>
    </w:pPr>
    <w:rPr>
      <w:rFonts w:cstheme="minorHAnsi"/>
      <w:color w:val="auto"/>
      <w:szCs w:val="24"/>
    </w:rPr>
  </w:style>
  <w:style w:type="character" w:customStyle="1" w:styleId="B1-Heading1Char">
    <w:name w:val="B1 - Heading 1 Char"/>
    <w:basedOn w:val="Heading2Char"/>
    <w:link w:val="B1-Heading1"/>
    <w:uiPriority w:val="6"/>
    <w:rsid w:val="007A5115"/>
    <w:rPr>
      <w:rFonts w:ascii="Segoe UI" w:eastAsiaTheme="majorEastAsia" w:hAnsi="Segoe UI" w:cstheme="majorBidi"/>
      <w:b/>
      <w:color w:val="0C3D7B" w:themeColor="text1" w:themeTint="E6"/>
      <w:sz w:val="32"/>
      <w:szCs w:val="32"/>
      <w:shd w:val="clear" w:color="auto" w:fill="EEEDF6" w:themeFill="accent1" w:themeFillTint="33"/>
    </w:rPr>
  </w:style>
  <w:style w:type="character" w:customStyle="1" w:styleId="B3-Heading1Char">
    <w:name w:val="B3 - Heading 1 Char"/>
    <w:basedOn w:val="B1-Heading1Char"/>
    <w:link w:val="B3-Heading1"/>
    <w:rsid w:val="00350E6D"/>
    <w:rPr>
      <w:rFonts w:ascii="Segoe UI" w:eastAsiaTheme="majorEastAsia" w:hAnsi="Segoe UI" w:cstheme="majorBidi"/>
      <w:b/>
      <w:color w:val="000000"/>
      <w:sz w:val="40"/>
      <w:szCs w:val="28"/>
      <w:shd w:val="clear" w:color="auto" w:fill="F9C7B1" w:themeFill="accent2" w:themeFillTint="99"/>
      <w14:textFill>
        <w14:solidFill>
          <w14:srgbClr w14:val="000000">
            <w14:lumMod w14:val="90000"/>
            <w14:lumOff w14:val="10000"/>
          </w14:srgbClr>
        </w14:solidFill>
      </w14:textFill>
    </w:rPr>
  </w:style>
  <w:style w:type="character" w:customStyle="1" w:styleId="B1-BodyChar">
    <w:name w:val="B1 - Body Char"/>
    <w:basedOn w:val="DefaultParagraphFont"/>
    <w:link w:val="B1-Body"/>
    <w:uiPriority w:val="4"/>
    <w:rsid w:val="009D296A"/>
    <w:rPr>
      <w:rFonts w:eastAsia="Times New Roman"/>
      <w:color w:val="092B57" w:themeColor="accent6"/>
      <w:sz w:val="20"/>
      <w:szCs w:val="20"/>
      <w:shd w:val="clear" w:color="auto" w:fill="EEEDF6" w:themeFill="accent1" w:themeFillTint="33"/>
      <w:lang w:val="en-US"/>
    </w:rPr>
  </w:style>
  <w:style w:type="character" w:customStyle="1" w:styleId="B1-listnumbersChar">
    <w:name w:val="B1 - list numbers Char"/>
    <w:basedOn w:val="B1-BodyChar"/>
    <w:link w:val="B1-listnumbers"/>
    <w:uiPriority w:val="5"/>
    <w:rsid w:val="004E5054"/>
    <w:rPr>
      <w:rFonts w:eastAsia="Times New Roman"/>
      <w:color w:val="092B57" w:themeColor="accent6"/>
      <w:sz w:val="20"/>
      <w:szCs w:val="20"/>
      <w:shd w:val="clear" w:color="auto" w:fill="EEEDF6" w:themeFill="accent1" w:themeFillTint="33"/>
      <w:lang w:val="en-US"/>
    </w:rPr>
  </w:style>
  <w:style w:type="character" w:customStyle="1" w:styleId="B3-ListnumbersChar">
    <w:name w:val="B3 - List numbers Char"/>
    <w:basedOn w:val="B1-listnumbersChar"/>
    <w:link w:val="B3-Listnumbers"/>
    <w:rsid w:val="00A439CD"/>
    <w:rPr>
      <w:rFonts w:eastAsia="Times New Roman" w:cstheme="minorHAnsi"/>
      <w:color w:val="092B57" w:themeColor="accent6"/>
      <w:sz w:val="20"/>
      <w:szCs w:val="24"/>
      <w:shd w:val="clear" w:color="auto" w:fill="F9C7B1" w:themeFill="accent2" w:themeFillTint="99"/>
      <w:lang w:val="en-US"/>
    </w:rPr>
  </w:style>
  <w:style w:type="paragraph" w:customStyle="1" w:styleId="B3-Listbullets">
    <w:name w:val="B3 - List bullets"/>
    <w:basedOn w:val="B2-Listbullets"/>
    <w:qFormat/>
    <w:rsid w:val="00A439CD"/>
    <w:pPr>
      <w:pBdr>
        <w:top w:val="single" w:sz="48" w:space="1" w:color="F9C7B1" w:themeColor="accent2" w:themeTint="99"/>
        <w:left w:val="single" w:sz="48" w:space="4" w:color="F9C7B1" w:themeColor="accent2" w:themeTint="99"/>
        <w:bottom w:val="single" w:sz="48" w:space="1" w:color="F9C7B1" w:themeColor="accent2" w:themeTint="99"/>
        <w:right w:val="single" w:sz="48" w:space="4" w:color="F9C7B1" w:themeColor="accent2" w:themeTint="99"/>
      </w:pBdr>
      <w:shd w:val="clear" w:color="auto" w:fill="F9C7B1" w:themeFill="accent2" w:themeFillTint="99"/>
    </w:pPr>
  </w:style>
  <w:style w:type="paragraph" w:customStyle="1" w:styleId="B4-Heading1">
    <w:name w:val="B4 - Heading 1"/>
    <w:basedOn w:val="B3-Heading1"/>
    <w:qFormat/>
    <w:rsid w:val="00A439CD"/>
    <w:pPr>
      <w:pBdr>
        <w:top w:val="single" w:sz="48" w:space="1" w:color="092B57" w:themeColor="text1"/>
        <w:left w:val="single" w:sz="48" w:space="4" w:color="092B57" w:themeColor="text1"/>
        <w:bottom w:val="single" w:sz="48" w:space="1" w:color="092B57" w:themeColor="text1"/>
        <w:right w:val="single" w:sz="48" w:space="4" w:color="092B57" w:themeColor="text1"/>
      </w:pBdr>
      <w:shd w:val="clear" w:color="auto" w:fill="092B57" w:themeFill="text1"/>
    </w:pPr>
    <w:rPr>
      <w:color w:val="F5A37D" w:themeColor="background2"/>
      <w14:textFill>
        <w14:solidFill>
          <w14:schemeClr w14:val="bg2">
            <w14:lumMod w14:val="90000"/>
            <w14:lumOff w14:val="10000"/>
            <w14:lumMod w14:val="90000"/>
            <w14:lumOff w14:val="10000"/>
          </w14:schemeClr>
        </w14:solidFill>
      </w14:textFill>
    </w:rPr>
  </w:style>
  <w:style w:type="paragraph" w:customStyle="1" w:styleId="B4-Heading2">
    <w:name w:val="B4 - Heading 2"/>
    <w:basedOn w:val="B3-Heading2"/>
    <w:qFormat/>
    <w:rsid w:val="00A439CD"/>
    <w:pPr>
      <w:pBdr>
        <w:top w:val="single" w:sz="48" w:space="1" w:color="092B57" w:themeColor="text1"/>
        <w:left w:val="single" w:sz="48" w:space="4" w:color="092B57" w:themeColor="text1"/>
        <w:bottom w:val="single" w:sz="48" w:space="1" w:color="092B57" w:themeColor="text1"/>
        <w:right w:val="single" w:sz="48" w:space="4" w:color="092B57" w:themeColor="text1"/>
      </w:pBdr>
      <w:shd w:val="clear" w:color="auto" w:fill="092B57" w:themeFill="text1"/>
    </w:pPr>
    <w:rPr>
      <w:color w:val="F5A37D" w:themeColor="background2"/>
    </w:rPr>
  </w:style>
  <w:style w:type="paragraph" w:customStyle="1" w:styleId="B4-Body">
    <w:name w:val="B4 - Body"/>
    <w:basedOn w:val="B3-Body"/>
    <w:qFormat/>
    <w:rsid w:val="00601451"/>
    <w:pPr>
      <w:pBdr>
        <w:top w:val="single" w:sz="48" w:space="1" w:color="092B57" w:themeColor="text1"/>
        <w:left w:val="single" w:sz="48" w:space="4" w:color="092B57" w:themeColor="text1"/>
        <w:bottom w:val="single" w:sz="48" w:space="1" w:color="092B57" w:themeColor="text1"/>
        <w:right w:val="single" w:sz="48" w:space="4" w:color="092B57" w:themeColor="text1"/>
      </w:pBdr>
      <w:shd w:val="clear" w:color="auto" w:fill="092B57" w:themeFill="text1"/>
    </w:pPr>
    <w:rPr>
      <w:color w:val="F9C7B1" w:themeColor="background2" w:themeTint="99"/>
    </w:rPr>
  </w:style>
  <w:style w:type="paragraph" w:customStyle="1" w:styleId="B4-Listnumbers">
    <w:name w:val="B4 - List numbers"/>
    <w:basedOn w:val="B3-Listnumbers"/>
    <w:qFormat/>
    <w:rsid w:val="00601451"/>
    <w:pPr>
      <w:pBdr>
        <w:top w:val="single" w:sz="48" w:space="1" w:color="092B57" w:themeColor="text1"/>
        <w:left w:val="single" w:sz="48" w:space="4" w:color="092B57" w:themeColor="text1"/>
        <w:bottom w:val="single" w:sz="48" w:space="1" w:color="092B57" w:themeColor="text1"/>
        <w:right w:val="single" w:sz="48" w:space="4" w:color="092B57" w:themeColor="text1"/>
      </w:pBdr>
      <w:shd w:val="clear" w:color="auto" w:fill="092B57" w:themeFill="accent6"/>
    </w:pPr>
    <w:rPr>
      <w:color w:val="F9C7B1" w:themeColor="accent2" w:themeTint="99"/>
    </w:rPr>
  </w:style>
  <w:style w:type="paragraph" w:customStyle="1" w:styleId="B4-Listbullets">
    <w:name w:val="B4 - List bullets"/>
    <w:basedOn w:val="B3-Listbullets"/>
    <w:qFormat/>
    <w:rsid w:val="00601451"/>
    <w:pPr>
      <w:pBdr>
        <w:top w:val="single" w:sz="48" w:space="1" w:color="092B57" w:themeColor="text1"/>
        <w:left w:val="single" w:sz="48" w:space="4" w:color="092B57" w:themeColor="text1"/>
        <w:bottom w:val="single" w:sz="48" w:space="1" w:color="092B57" w:themeColor="text1"/>
        <w:right w:val="single" w:sz="48" w:space="4" w:color="092B57" w:themeColor="text1"/>
      </w:pBdr>
      <w:shd w:val="clear" w:color="auto" w:fill="092B57" w:themeFill="text1"/>
    </w:pPr>
    <w:rPr>
      <w:color w:val="F9C7B1" w:themeColor="background2" w:themeTint="99"/>
    </w:rPr>
  </w:style>
  <w:style w:type="paragraph" w:customStyle="1" w:styleId="BOXText">
    <w:name w:val="BOX Text"/>
    <w:basedOn w:val="Normal"/>
    <w:uiPriority w:val="4"/>
    <w:qFormat/>
    <w:rsid w:val="00DF2370"/>
    <w:pPr>
      <w:pBdr>
        <w:top w:val="single" w:sz="48" w:space="1" w:color="DEDCED" w:themeColor="accent1" w:themeTint="66"/>
        <w:left w:val="single" w:sz="48" w:space="4" w:color="DEDCED" w:themeColor="accent1" w:themeTint="66"/>
        <w:bottom w:val="single" w:sz="48" w:space="1" w:color="DEDCED" w:themeColor="accent1" w:themeTint="66"/>
        <w:right w:val="single" w:sz="48" w:space="4" w:color="DEDCED" w:themeColor="accent1" w:themeTint="66"/>
      </w:pBdr>
      <w:shd w:val="clear" w:color="auto" w:fill="DEDCED" w:themeFill="accent1" w:themeFillTint="66"/>
      <w:tabs>
        <w:tab w:val="left" w:pos="3300"/>
      </w:tabs>
    </w:pPr>
  </w:style>
  <w:style w:type="paragraph" w:customStyle="1" w:styleId="BulletedList-Level1">
    <w:name w:val="Bulleted List - Level 1"/>
    <w:basedOn w:val="ListParagraph"/>
    <w:uiPriority w:val="1"/>
    <w:qFormat/>
    <w:rsid w:val="00F51A45"/>
    <w:pPr>
      <w:ind w:hanging="360"/>
      <w:contextualSpacing w:val="0"/>
    </w:pPr>
    <w:rPr>
      <w:rFonts w:ascii="Segoe UI" w:hAnsi="Segoe UI" w:cs="Segoe UI"/>
      <w:szCs w:val="24"/>
    </w:rPr>
  </w:style>
  <w:style w:type="paragraph" w:customStyle="1" w:styleId="INFO-S1">
    <w:name w:val="INFO - S1"/>
    <w:basedOn w:val="B2-Heading1"/>
    <w:qFormat/>
    <w:rsid w:val="007A5115"/>
    <w:pPr>
      <w:pBdr>
        <w:top w:val="single" w:sz="48" w:space="2" w:color="E0CCE0" w:themeColor="text2" w:themeTint="66"/>
        <w:left w:val="single" w:sz="48" w:space="6" w:color="E0CCE0" w:themeColor="text2" w:themeTint="66"/>
        <w:bottom w:val="single" w:sz="48" w:space="2" w:color="E0CCE0" w:themeColor="text2" w:themeTint="66"/>
        <w:right w:val="single" w:sz="48" w:space="6" w:color="E0CCE0" w:themeColor="text2" w:themeTint="66"/>
      </w:pBdr>
      <w:ind w:left="454" w:right="454"/>
      <w:jc w:val="center"/>
    </w:pPr>
    <w:rPr>
      <w:b w:val="0"/>
      <w:sz w:val="28"/>
      <w:szCs w:val="28"/>
    </w:rPr>
  </w:style>
  <w:style w:type="paragraph" w:customStyle="1" w:styleId="INFO-S2">
    <w:name w:val="INFO - S2"/>
    <w:basedOn w:val="INFO-S1"/>
    <w:qFormat/>
    <w:rsid w:val="007A5115"/>
    <w:pPr>
      <w:pBdr>
        <w:top w:val="single" w:sz="48" w:space="2" w:color="DEDCED" w:themeColor="accent1" w:themeTint="66"/>
        <w:left w:val="single" w:sz="48" w:space="6" w:color="DEDCED" w:themeColor="accent1" w:themeTint="66"/>
        <w:bottom w:val="single" w:sz="48" w:space="2" w:color="DEDCED" w:themeColor="accent1" w:themeTint="66"/>
        <w:right w:val="single" w:sz="48" w:space="6" w:color="DEDCED" w:themeColor="accent1" w:themeTint="66"/>
      </w:pBdr>
      <w:shd w:val="clear" w:color="auto" w:fill="DEDCED" w:themeFill="accent1" w:themeFillTint="66"/>
    </w:pPr>
  </w:style>
  <w:style w:type="paragraph" w:customStyle="1" w:styleId="INFO-S3">
    <w:name w:val="INFO - S3"/>
    <w:basedOn w:val="INFO-S1"/>
    <w:qFormat/>
    <w:rsid w:val="007A5115"/>
    <w:pPr>
      <w:pBdr>
        <w:top w:val="single" w:sz="48" w:space="2" w:color="F9C0AE" w:themeColor="accent3" w:themeTint="66"/>
        <w:left w:val="single" w:sz="48" w:space="6" w:color="F9C0AE" w:themeColor="accent3" w:themeTint="66"/>
        <w:bottom w:val="single" w:sz="48" w:space="2" w:color="F9C0AE" w:themeColor="accent3" w:themeTint="66"/>
        <w:right w:val="single" w:sz="48" w:space="6" w:color="F9C0AE" w:themeColor="accent3" w:themeTint="66"/>
      </w:pBdr>
      <w:shd w:val="clear" w:color="auto" w:fill="F9C0AE" w:themeFill="accent3" w:themeFillTint="66"/>
    </w:pPr>
  </w:style>
  <w:style w:type="paragraph" w:customStyle="1" w:styleId="INFO-Quote1">
    <w:name w:val="INFO - Quote 1"/>
    <w:basedOn w:val="Quote"/>
    <w:qFormat/>
    <w:rsid w:val="00BC0D7A"/>
    <w:pPr>
      <w:pBdr>
        <w:top w:val="single" w:sz="24" w:space="6" w:color="A0C5F5" w:themeColor="text1" w:themeTint="40"/>
        <w:left w:val="single" w:sz="24" w:space="12" w:color="A0C5F5" w:themeColor="text1" w:themeTint="40"/>
        <w:bottom w:val="single" w:sz="24" w:space="6" w:color="A0C5F5" w:themeColor="text1" w:themeTint="40"/>
        <w:right w:val="single" w:sz="24" w:space="12" w:color="A0C5F5" w:themeColor="text1" w:themeTint="40"/>
      </w:pBdr>
      <w:spacing w:before="0" w:after="120" w:line="240" w:lineRule="auto"/>
    </w:pPr>
    <w:rPr>
      <w:rFonts w:eastAsia="Times New Roman"/>
    </w:rPr>
  </w:style>
  <w:style w:type="paragraph" w:customStyle="1" w:styleId="INFO-Quote2">
    <w:name w:val="INFO - Quote 2"/>
    <w:basedOn w:val="INFO-Quote1"/>
    <w:qFormat/>
    <w:rsid w:val="00BC0D7A"/>
    <w:pPr>
      <w:pBdr>
        <w:top w:val="single" w:sz="24" w:space="6" w:color="8F578F" w:themeColor="text2" w:themeShade="BF"/>
        <w:left w:val="single" w:sz="24" w:space="12" w:color="8F578F" w:themeColor="text2" w:themeShade="BF"/>
        <w:bottom w:val="single" w:sz="24" w:space="6" w:color="8F578F" w:themeColor="text2" w:themeShade="BF"/>
        <w:right w:val="single" w:sz="24" w:space="12" w:color="8F578F" w:themeColor="text2" w:themeShade="BF"/>
      </w:pBdr>
    </w:pPr>
  </w:style>
  <w:style w:type="paragraph" w:customStyle="1" w:styleId="Source">
    <w:name w:val="Source"/>
    <w:basedOn w:val="Normal"/>
    <w:qFormat/>
    <w:rsid w:val="00196773"/>
    <w:pPr>
      <w:spacing w:after="120" w:line="240" w:lineRule="auto"/>
    </w:pPr>
    <w:rPr>
      <w:i/>
      <w:sz w:val="20"/>
    </w:rPr>
  </w:style>
  <w:style w:type="paragraph" w:customStyle="1" w:styleId="B2-Heading3">
    <w:name w:val="B2 - Heading 3"/>
    <w:basedOn w:val="B2-Heading2"/>
    <w:next w:val="B3-Body"/>
    <w:link w:val="B2-Heading3Char"/>
    <w:qFormat/>
    <w:rsid w:val="00033257"/>
    <w:pPr>
      <w:spacing w:after="80"/>
      <w:outlineLvl w:val="2"/>
    </w:pPr>
    <w:rPr>
      <w:rFonts w:eastAsia="Segoe UI"/>
      <w:i/>
      <w:sz w:val="28"/>
      <w:szCs w:val="28"/>
    </w:rPr>
  </w:style>
  <w:style w:type="paragraph" w:customStyle="1" w:styleId="B3-Heading3">
    <w:name w:val="B3 - Heading 3"/>
    <w:basedOn w:val="B3-Heading2"/>
    <w:qFormat/>
    <w:rsid w:val="00D64D30"/>
    <w:pPr>
      <w:spacing w:after="80"/>
    </w:pPr>
    <w:rPr>
      <w:rFonts w:eastAsia="Segoe UI"/>
      <w:b/>
      <w:sz w:val="28"/>
      <w:szCs w:val="28"/>
    </w:rPr>
  </w:style>
  <w:style w:type="paragraph" w:customStyle="1" w:styleId="BoxDark-Text">
    <w:name w:val="Box Dark - Text"/>
    <w:basedOn w:val="BOXText"/>
    <w:uiPriority w:val="7"/>
    <w:rsid w:val="009D296A"/>
    <w:pPr>
      <w:pBdr>
        <w:top w:val="single" w:sz="48" w:space="1" w:color="AEA8D3" w:themeColor="accent1"/>
        <w:left w:val="single" w:sz="48" w:space="4" w:color="AEA8D3" w:themeColor="accent1"/>
        <w:bottom w:val="single" w:sz="48" w:space="1" w:color="AEA8D3" w:themeColor="accent1"/>
        <w:right w:val="single" w:sz="48" w:space="4" w:color="AEA8D3" w:themeColor="accent1"/>
      </w:pBdr>
      <w:shd w:val="clear" w:color="auto" w:fill="AEA8D3" w:themeFill="accent1"/>
    </w:pPr>
    <w:rPr>
      <w:rFonts w:ascii="Segoe UI" w:hAnsi="Segoe UI"/>
    </w:rPr>
  </w:style>
  <w:style w:type="paragraph" w:customStyle="1" w:styleId="B4-Heading3">
    <w:name w:val="B4 - Heading 3"/>
    <w:basedOn w:val="B4-Heading2"/>
    <w:qFormat/>
    <w:rsid w:val="00F428FD"/>
    <w:pPr>
      <w:spacing w:after="80"/>
    </w:pPr>
    <w:rPr>
      <w:rFonts w:eastAsia="Segoe UI"/>
      <w:b/>
      <w:color w:val="F9C7B1" w:themeColor="background2" w:themeTint="99"/>
      <w:sz w:val="28"/>
      <w:szCs w:val="28"/>
    </w:rPr>
  </w:style>
  <w:style w:type="paragraph" w:customStyle="1" w:styleId="shade1-B1Body">
    <w:name w:val="shade 1 - B1 Body"/>
    <w:basedOn w:val="B1-Body"/>
    <w:qFormat/>
    <w:rsid w:val="00563CA1"/>
    <w:pPr>
      <w:pBdr>
        <w:top w:val="single" w:sz="48" w:space="1" w:color="DEDCED" w:themeColor="accent1" w:themeTint="66"/>
        <w:left w:val="single" w:sz="48" w:space="4" w:color="DEDCED" w:themeColor="accent1" w:themeTint="66"/>
        <w:bottom w:val="single" w:sz="48" w:space="1" w:color="DEDCED" w:themeColor="accent1" w:themeTint="66"/>
        <w:right w:val="single" w:sz="48" w:space="4" w:color="DEDCED" w:themeColor="accent1" w:themeTint="66"/>
      </w:pBdr>
      <w:shd w:val="clear" w:color="auto" w:fill="DEDCED" w:themeFill="accent1" w:themeFillTint="66"/>
    </w:pPr>
    <w:rPr>
      <w:rFonts w:eastAsia="Segoe UI"/>
      <w:b/>
    </w:rPr>
  </w:style>
  <w:style w:type="paragraph" w:customStyle="1" w:styleId="Shade2-B1Body">
    <w:name w:val="Shade 2 - B1 Body"/>
    <w:basedOn w:val="shade1-B1Body"/>
    <w:qFormat/>
    <w:rsid w:val="00563CA1"/>
    <w:pPr>
      <w:pBdr>
        <w:top w:val="single" w:sz="48" w:space="1" w:color="CECAE4" w:themeColor="accent1" w:themeTint="99"/>
        <w:left w:val="single" w:sz="48" w:space="4" w:color="CECAE4" w:themeColor="accent1" w:themeTint="99"/>
        <w:bottom w:val="single" w:sz="48" w:space="1" w:color="CECAE4" w:themeColor="accent1" w:themeTint="99"/>
        <w:right w:val="single" w:sz="48" w:space="4" w:color="CECAE4" w:themeColor="accent1" w:themeTint="99"/>
      </w:pBdr>
      <w:shd w:val="clear" w:color="auto" w:fill="CECAE4" w:themeFill="accent1" w:themeFillTint="99"/>
    </w:pPr>
    <w:rPr>
      <w:b w:val="0"/>
    </w:rPr>
  </w:style>
  <w:style w:type="paragraph" w:customStyle="1" w:styleId="Shade3-B1Body">
    <w:name w:val="Shade 3 - B1 Body"/>
    <w:basedOn w:val="Shade2-B1Body"/>
    <w:qFormat/>
    <w:rsid w:val="00563CA1"/>
    <w:pPr>
      <w:pBdr>
        <w:top w:val="single" w:sz="48" w:space="1" w:color="7268B3" w:themeColor="accent1" w:themeShade="BF"/>
        <w:left w:val="single" w:sz="48" w:space="4" w:color="7268B3" w:themeColor="accent1" w:themeShade="BF"/>
        <w:bottom w:val="single" w:sz="48" w:space="1" w:color="7268B3" w:themeColor="accent1" w:themeShade="BF"/>
        <w:right w:val="single" w:sz="48" w:space="4" w:color="7268B3" w:themeColor="accent1" w:themeShade="BF"/>
      </w:pBdr>
      <w:shd w:val="clear" w:color="auto" w:fill="7268B3" w:themeFill="accent1" w:themeFillShade="BF"/>
    </w:pPr>
    <w:rPr>
      <w:color w:val="FFFFFF" w:themeColor="background1"/>
    </w:rPr>
  </w:style>
  <w:style w:type="paragraph" w:customStyle="1" w:styleId="Style2">
    <w:name w:val="Style2"/>
    <w:basedOn w:val="Shade3-B1Body"/>
    <w:qFormat/>
    <w:rsid w:val="00563CA1"/>
    <w:pPr>
      <w:pBdr>
        <w:top w:val="single" w:sz="48" w:space="1" w:color="483F7E" w:themeColor="accent1" w:themeShade="80"/>
        <w:left w:val="single" w:sz="48" w:space="4" w:color="483F7E" w:themeColor="accent1" w:themeShade="80"/>
        <w:bottom w:val="single" w:sz="48" w:space="1" w:color="483F7E" w:themeColor="accent1" w:themeShade="80"/>
        <w:right w:val="single" w:sz="48" w:space="4" w:color="483F7E" w:themeColor="accent1" w:themeShade="80"/>
      </w:pBdr>
      <w:shd w:val="clear" w:color="auto" w:fill="483F7E" w:themeFill="accent1" w:themeFillShade="80"/>
    </w:pPr>
  </w:style>
  <w:style w:type="paragraph" w:customStyle="1" w:styleId="ListBullets-Level1-table">
    <w:name w:val="List Bullets - Level 1 - table"/>
    <w:basedOn w:val="Listbullets-Level1"/>
    <w:qFormat/>
    <w:rsid w:val="00BC41FA"/>
    <w:pPr>
      <w:spacing w:after="40" w:line="240" w:lineRule="auto"/>
      <w:ind w:left="426" w:hanging="284"/>
    </w:pPr>
    <w:rPr>
      <w:sz w:val="18"/>
    </w:rPr>
  </w:style>
  <w:style w:type="paragraph" w:customStyle="1" w:styleId="00-Bodytable">
    <w:name w:val="00 - Body table"/>
    <w:basedOn w:val="Normal"/>
    <w:qFormat/>
    <w:rsid w:val="00BC41FA"/>
    <w:pPr>
      <w:spacing w:after="40" w:line="240" w:lineRule="auto"/>
    </w:pPr>
    <w:rPr>
      <w:rFonts w:cstheme="minorHAnsi"/>
      <w:sz w:val="20"/>
      <w:szCs w:val="18"/>
    </w:rPr>
  </w:style>
  <w:style w:type="paragraph" w:customStyle="1" w:styleId="Style3">
    <w:name w:val="Style3"/>
    <w:basedOn w:val="Heading4"/>
    <w:link w:val="Style3Char"/>
    <w:qFormat/>
    <w:rsid w:val="00012A6F"/>
  </w:style>
  <w:style w:type="character" w:customStyle="1" w:styleId="Style3Char">
    <w:name w:val="Style3 Char"/>
    <w:basedOn w:val="Heading4Char"/>
    <w:link w:val="Style3"/>
    <w:rsid w:val="00012A6F"/>
    <w:rPr>
      <w:rFonts w:eastAsiaTheme="majorEastAsia" w:cstheme="minorHAnsi"/>
      <w:color w:val="092B57" w:themeColor="text1"/>
      <w:sz w:val="32"/>
      <w:szCs w:val="32"/>
    </w:rPr>
  </w:style>
  <w:style w:type="paragraph" w:customStyle="1" w:styleId="Reference">
    <w:name w:val="Reference"/>
    <w:basedOn w:val="Normal"/>
    <w:qFormat/>
    <w:rsid w:val="00D64D30"/>
  </w:style>
  <w:style w:type="paragraph" w:customStyle="1" w:styleId="Casestudyheading">
    <w:name w:val="Case study heading"/>
    <w:basedOn w:val="BOXText"/>
    <w:qFormat/>
    <w:rsid w:val="00715FBF"/>
    <w:pPr>
      <w:outlineLvl w:val="2"/>
    </w:pPr>
    <w:rPr>
      <w:color w:val="092B57" w:themeColor="text1"/>
    </w:rPr>
  </w:style>
  <w:style w:type="paragraph" w:customStyle="1" w:styleId="B5-Heading3">
    <w:name w:val="B5 - Heading 3"/>
    <w:basedOn w:val="B4-Heading3"/>
    <w:qFormat/>
    <w:rsid w:val="00033257"/>
    <w:pPr>
      <w:pBdr>
        <w:top w:val="single" w:sz="48" w:space="1" w:color="AEA8D3" w:themeColor="accent1"/>
        <w:left w:val="single" w:sz="48" w:space="4" w:color="AEA8D3" w:themeColor="accent1"/>
        <w:bottom w:val="single" w:sz="48" w:space="1" w:color="AEA8D3" w:themeColor="accent1"/>
        <w:right w:val="single" w:sz="48" w:space="4" w:color="AEA8D3" w:themeColor="accent1"/>
      </w:pBdr>
      <w:shd w:val="clear" w:color="auto" w:fill="AEA8D3" w:themeFill="accent1"/>
      <w:outlineLvl w:val="2"/>
    </w:pPr>
    <w:rPr>
      <w:b w:val="0"/>
      <w:i/>
      <w:color w:val="auto"/>
    </w:rPr>
  </w:style>
  <w:style w:type="paragraph" w:customStyle="1" w:styleId="B5-Body">
    <w:name w:val="B5 - Body"/>
    <w:basedOn w:val="B4-Body"/>
    <w:qFormat/>
    <w:rsid w:val="00174A3E"/>
    <w:pPr>
      <w:pBdr>
        <w:top w:val="single" w:sz="48" w:space="1" w:color="AEA8D3" w:themeColor="accent1"/>
        <w:left w:val="single" w:sz="48" w:space="4" w:color="AEA8D3" w:themeColor="accent1"/>
        <w:bottom w:val="single" w:sz="48" w:space="1" w:color="AEA8D3" w:themeColor="accent1"/>
        <w:right w:val="single" w:sz="48" w:space="4" w:color="AEA8D3" w:themeColor="accent1"/>
      </w:pBdr>
      <w:shd w:val="clear" w:color="auto" w:fill="AEA8D3" w:themeFill="accent1"/>
    </w:pPr>
    <w:rPr>
      <w:color w:val="auto"/>
    </w:rPr>
  </w:style>
  <w:style w:type="table" w:customStyle="1" w:styleId="GridTable4-Accent12">
    <w:name w:val="Grid Table 4 - Accent 12"/>
    <w:basedOn w:val="TableNormal"/>
    <w:uiPriority w:val="49"/>
    <w:rsid w:val="00804DDC"/>
    <w:pPr>
      <w:spacing w:before="40" w:after="40" w:line="240" w:lineRule="auto"/>
    </w:pPr>
    <w:rPr>
      <w:rFonts w:eastAsia="Arial"/>
      <w:sz w:val="16"/>
      <w:szCs w:val="22"/>
    </w:rPr>
    <w:tblPr>
      <w:tblStyleRowBandSize w:val="1"/>
      <w:tblStyleColBandSize w:val="1"/>
      <w:tblInd w:w="0" w:type="nil"/>
      <w:tblBorders>
        <w:top w:val="single" w:sz="4" w:space="0" w:color="B962C8"/>
        <w:left w:val="single" w:sz="4" w:space="0" w:color="B962C8"/>
        <w:bottom w:val="single" w:sz="4" w:space="0" w:color="B962C8"/>
        <w:right w:val="single" w:sz="4" w:space="0" w:color="B962C8"/>
        <w:insideH w:val="single" w:sz="4" w:space="0" w:color="B962C8"/>
        <w:insideV w:val="single" w:sz="4" w:space="0" w:color="B962C8"/>
      </w:tblBorders>
    </w:tblPr>
    <w:tblStylePr w:type="firstRow">
      <w:rPr>
        <w:b/>
        <w:bCs/>
        <w:color w:val="FEFFFF"/>
      </w:rPr>
      <w:tblPr/>
      <w:tcPr>
        <w:tcBorders>
          <w:top w:val="single" w:sz="4" w:space="0" w:color="6B2976"/>
          <w:left w:val="single" w:sz="4" w:space="0" w:color="6B2976"/>
          <w:bottom w:val="single" w:sz="4" w:space="0" w:color="6B2976"/>
          <w:right w:val="single" w:sz="4" w:space="0" w:color="6B2976"/>
          <w:insideH w:val="nil"/>
          <w:insideV w:val="nil"/>
        </w:tcBorders>
        <w:shd w:val="clear" w:color="auto" w:fill="6B2976"/>
      </w:tcPr>
    </w:tblStylePr>
    <w:tblStylePr w:type="lastRow">
      <w:rPr>
        <w:b/>
        <w:bCs/>
      </w:rPr>
      <w:tblPr/>
      <w:tcPr>
        <w:tcBorders>
          <w:top w:val="double" w:sz="4" w:space="0" w:color="6B2976"/>
        </w:tcBorders>
      </w:tcPr>
    </w:tblStylePr>
    <w:tblStylePr w:type="firstCol">
      <w:rPr>
        <w:b/>
        <w:bCs/>
      </w:rPr>
    </w:tblStylePr>
    <w:tblStylePr w:type="lastCol">
      <w:rPr>
        <w:b/>
        <w:bCs/>
      </w:rPr>
    </w:tblStylePr>
    <w:tblStylePr w:type="band1Vert">
      <w:tblPr/>
      <w:tcPr>
        <w:shd w:val="clear" w:color="auto" w:fill="E8CAED"/>
      </w:tcPr>
    </w:tblStylePr>
    <w:tblStylePr w:type="band1Horz">
      <w:tblPr/>
      <w:tcPr>
        <w:shd w:val="clear" w:color="auto" w:fill="E8CAED"/>
      </w:tcPr>
    </w:tblStylePr>
  </w:style>
  <w:style w:type="character" w:customStyle="1" w:styleId="B2-BodyChar">
    <w:name w:val="B2 - Body Char"/>
    <w:basedOn w:val="B1-BodyChar"/>
    <w:link w:val="B2-Body"/>
    <w:uiPriority w:val="7"/>
    <w:rsid w:val="00937E52"/>
    <w:rPr>
      <w:rFonts w:eastAsia="Times New Roman"/>
      <w:color w:val="092B57" w:themeColor="accent6"/>
      <w:sz w:val="20"/>
      <w:szCs w:val="20"/>
      <w:shd w:val="clear" w:color="auto" w:fill="E0CCE0" w:themeFill="text2" w:themeFillTint="66"/>
      <w:lang w:val="en-US"/>
    </w:rPr>
  </w:style>
  <w:style w:type="character" w:customStyle="1" w:styleId="B2-Heading1Char">
    <w:name w:val="B2 - Heading 1 Char"/>
    <w:basedOn w:val="B2-BodyChar"/>
    <w:link w:val="B2-Heading1"/>
    <w:uiPriority w:val="9"/>
    <w:rsid w:val="00937E52"/>
    <w:rPr>
      <w:rFonts w:eastAsia="Times New Roman"/>
      <w:b/>
      <w:color w:val="092B57" w:themeColor="accent6"/>
      <w:sz w:val="32"/>
      <w:szCs w:val="20"/>
      <w:shd w:val="clear" w:color="auto" w:fill="E0CCE0" w:themeFill="text2" w:themeFillTint="66"/>
      <w:lang w:val="en-US"/>
    </w:rPr>
  </w:style>
  <w:style w:type="character" w:customStyle="1" w:styleId="B2-Heading2Char">
    <w:name w:val="B2 - Heading 2 Char"/>
    <w:basedOn w:val="B2-Heading1Char"/>
    <w:link w:val="B2-Heading2"/>
    <w:uiPriority w:val="9"/>
    <w:rsid w:val="00937E52"/>
    <w:rPr>
      <w:rFonts w:eastAsia="Times New Roman"/>
      <w:b w:val="0"/>
      <w:color w:val="092B57" w:themeColor="accent6"/>
      <w:sz w:val="36"/>
      <w:szCs w:val="20"/>
      <w:shd w:val="clear" w:color="auto" w:fill="E0CCE0" w:themeFill="text2" w:themeFillTint="66"/>
      <w:lang w:val="en-US"/>
    </w:rPr>
  </w:style>
  <w:style w:type="character" w:customStyle="1" w:styleId="B2-Heading3Char">
    <w:name w:val="B2 - Heading 3 Char"/>
    <w:basedOn w:val="B2-Heading2Char"/>
    <w:link w:val="B2-Heading3"/>
    <w:rsid w:val="00033257"/>
    <w:rPr>
      <w:rFonts w:eastAsia="Segoe UI"/>
      <w:b w:val="0"/>
      <w:i/>
      <w:color w:val="092B57" w:themeColor="accent6"/>
      <w:sz w:val="28"/>
      <w:szCs w:val="28"/>
      <w:shd w:val="clear" w:color="auto" w:fill="E0CCE0" w:themeFill="text2" w:themeFillTint="6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54447">
      <w:bodyDiv w:val="1"/>
      <w:marLeft w:val="0"/>
      <w:marRight w:val="0"/>
      <w:marTop w:val="0"/>
      <w:marBottom w:val="0"/>
      <w:divBdr>
        <w:top w:val="none" w:sz="0" w:space="0" w:color="auto"/>
        <w:left w:val="none" w:sz="0" w:space="0" w:color="auto"/>
        <w:bottom w:val="none" w:sz="0" w:space="0" w:color="auto"/>
        <w:right w:val="none" w:sz="0" w:space="0" w:color="auto"/>
      </w:divBdr>
      <w:divsChild>
        <w:div w:id="10844701">
          <w:marLeft w:val="446"/>
          <w:marRight w:val="0"/>
          <w:marTop w:val="0"/>
          <w:marBottom w:val="0"/>
          <w:divBdr>
            <w:top w:val="none" w:sz="0" w:space="0" w:color="auto"/>
            <w:left w:val="none" w:sz="0" w:space="0" w:color="auto"/>
            <w:bottom w:val="none" w:sz="0" w:space="0" w:color="auto"/>
            <w:right w:val="none" w:sz="0" w:space="0" w:color="auto"/>
          </w:divBdr>
        </w:div>
        <w:div w:id="53085906">
          <w:marLeft w:val="446"/>
          <w:marRight w:val="0"/>
          <w:marTop w:val="0"/>
          <w:marBottom w:val="0"/>
          <w:divBdr>
            <w:top w:val="none" w:sz="0" w:space="0" w:color="auto"/>
            <w:left w:val="none" w:sz="0" w:space="0" w:color="auto"/>
            <w:bottom w:val="none" w:sz="0" w:space="0" w:color="auto"/>
            <w:right w:val="none" w:sz="0" w:space="0" w:color="auto"/>
          </w:divBdr>
        </w:div>
        <w:div w:id="123355422">
          <w:marLeft w:val="446"/>
          <w:marRight w:val="0"/>
          <w:marTop w:val="0"/>
          <w:marBottom w:val="0"/>
          <w:divBdr>
            <w:top w:val="none" w:sz="0" w:space="0" w:color="auto"/>
            <w:left w:val="none" w:sz="0" w:space="0" w:color="auto"/>
            <w:bottom w:val="none" w:sz="0" w:space="0" w:color="auto"/>
            <w:right w:val="none" w:sz="0" w:space="0" w:color="auto"/>
          </w:divBdr>
        </w:div>
        <w:div w:id="156501524">
          <w:marLeft w:val="446"/>
          <w:marRight w:val="0"/>
          <w:marTop w:val="0"/>
          <w:marBottom w:val="0"/>
          <w:divBdr>
            <w:top w:val="none" w:sz="0" w:space="0" w:color="auto"/>
            <w:left w:val="none" w:sz="0" w:space="0" w:color="auto"/>
            <w:bottom w:val="none" w:sz="0" w:space="0" w:color="auto"/>
            <w:right w:val="none" w:sz="0" w:space="0" w:color="auto"/>
          </w:divBdr>
        </w:div>
        <w:div w:id="185532504">
          <w:marLeft w:val="446"/>
          <w:marRight w:val="0"/>
          <w:marTop w:val="0"/>
          <w:marBottom w:val="0"/>
          <w:divBdr>
            <w:top w:val="none" w:sz="0" w:space="0" w:color="auto"/>
            <w:left w:val="none" w:sz="0" w:space="0" w:color="auto"/>
            <w:bottom w:val="none" w:sz="0" w:space="0" w:color="auto"/>
            <w:right w:val="none" w:sz="0" w:space="0" w:color="auto"/>
          </w:divBdr>
        </w:div>
        <w:div w:id="241183215">
          <w:marLeft w:val="446"/>
          <w:marRight w:val="0"/>
          <w:marTop w:val="0"/>
          <w:marBottom w:val="0"/>
          <w:divBdr>
            <w:top w:val="none" w:sz="0" w:space="0" w:color="auto"/>
            <w:left w:val="none" w:sz="0" w:space="0" w:color="auto"/>
            <w:bottom w:val="none" w:sz="0" w:space="0" w:color="auto"/>
            <w:right w:val="none" w:sz="0" w:space="0" w:color="auto"/>
          </w:divBdr>
        </w:div>
        <w:div w:id="277417564">
          <w:marLeft w:val="446"/>
          <w:marRight w:val="0"/>
          <w:marTop w:val="0"/>
          <w:marBottom w:val="0"/>
          <w:divBdr>
            <w:top w:val="none" w:sz="0" w:space="0" w:color="auto"/>
            <w:left w:val="none" w:sz="0" w:space="0" w:color="auto"/>
            <w:bottom w:val="none" w:sz="0" w:space="0" w:color="auto"/>
            <w:right w:val="none" w:sz="0" w:space="0" w:color="auto"/>
          </w:divBdr>
        </w:div>
        <w:div w:id="680008384">
          <w:marLeft w:val="446"/>
          <w:marRight w:val="0"/>
          <w:marTop w:val="0"/>
          <w:marBottom w:val="0"/>
          <w:divBdr>
            <w:top w:val="none" w:sz="0" w:space="0" w:color="auto"/>
            <w:left w:val="none" w:sz="0" w:space="0" w:color="auto"/>
            <w:bottom w:val="none" w:sz="0" w:space="0" w:color="auto"/>
            <w:right w:val="none" w:sz="0" w:space="0" w:color="auto"/>
          </w:divBdr>
        </w:div>
        <w:div w:id="701440202">
          <w:marLeft w:val="446"/>
          <w:marRight w:val="0"/>
          <w:marTop w:val="0"/>
          <w:marBottom w:val="0"/>
          <w:divBdr>
            <w:top w:val="none" w:sz="0" w:space="0" w:color="auto"/>
            <w:left w:val="none" w:sz="0" w:space="0" w:color="auto"/>
            <w:bottom w:val="none" w:sz="0" w:space="0" w:color="auto"/>
            <w:right w:val="none" w:sz="0" w:space="0" w:color="auto"/>
          </w:divBdr>
        </w:div>
        <w:div w:id="710804339">
          <w:marLeft w:val="446"/>
          <w:marRight w:val="0"/>
          <w:marTop w:val="0"/>
          <w:marBottom w:val="0"/>
          <w:divBdr>
            <w:top w:val="none" w:sz="0" w:space="0" w:color="auto"/>
            <w:left w:val="none" w:sz="0" w:space="0" w:color="auto"/>
            <w:bottom w:val="none" w:sz="0" w:space="0" w:color="auto"/>
            <w:right w:val="none" w:sz="0" w:space="0" w:color="auto"/>
          </w:divBdr>
        </w:div>
        <w:div w:id="988828023">
          <w:marLeft w:val="446"/>
          <w:marRight w:val="0"/>
          <w:marTop w:val="0"/>
          <w:marBottom w:val="0"/>
          <w:divBdr>
            <w:top w:val="none" w:sz="0" w:space="0" w:color="auto"/>
            <w:left w:val="none" w:sz="0" w:space="0" w:color="auto"/>
            <w:bottom w:val="none" w:sz="0" w:space="0" w:color="auto"/>
            <w:right w:val="none" w:sz="0" w:space="0" w:color="auto"/>
          </w:divBdr>
        </w:div>
        <w:div w:id="1061247881">
          <w:marLeft w:val="446"/>
          <w:marRight w:val="0"/>
          <w:marTop w:val="0"/>
          <w:marBottom w:val="0"/>
          <w:divBdr>
            <w:top w:val="none" w:sz="0" w:space="0" w:color="auto"/>
            <w:left w:val="none" w:sz="0" w:space="0" w:color="auto"/>
            <w:bottom w:val="none" w:sz="0" w:space="0" w:color="auto"/>
            <w:right w:val="none" w:sz="0" w:space="0" w:color="auto"/>
          </w:divBdr>
        </w:div>
        <w:div w:id="1078526505">
          <w:marLeft w:val="446"/>
          <w:marRight w:val="0"/>
          <w:marTop w:val="0"/>
          <w:marBottom w:val="0"/>
          <w:divBdr>
            <w:top w:val="none" w:sz="0" w:space="0" w:color="auto"/>
            <w:left w:val="none" w:sz="0" w:space="0" w:color="auto"/>
            <w:bottom w:val="none" w:sz="0" w:space="0" w:color="auto"/>
            <w:right w:val="none" w:sz="0" w:space="0" w:color="auto"/>
          </w:divBdr>
        </w:div>
        <w:div w:id="1155411379">
          <w:marLeft w:val="446"/>
          <w:marRight w:val="0"/>
          <w:marTop w:val="0"/>
          <w:marBottom w:val="0"/>
          <w:divBdr>
            <w:top w:val="none" w:sz="0" w:space="0" w:color="auto"/>
            <w:left w:val="none" w:sz="0" w:space="0" w:color="auto"/>
            <w:bottom w:val="none" w:sz="0" w:space="0" w:color="auto"/>
            <w:right w:val="none" w:sz="0" w:space="0" w:color="auto"/>
          </w:divBdr>
        </w:div>
        <w:div w:id="1364669465">
          <w:marLeft w:val="446"/>
          <w:marRight w:val="0"/>
          <w:marTop w:val="0"/>
          <w:marBottom w:val="0"/>
          <w:divBdr>
            <w:top w:val="none" w:sz="0" w:space="0" w:color="auto"/>
            <w:left w:val="none" w:sz="0" w:space="0" w:color="auto"/>
            <w:bottom w:val="none" w:sz="0" w:space="0" w:color="auto"/>
            <w:right w:val="none" w:sz="0" w:space="0" w:color="auto"/>
          </w:divBdr>
        </w:div>
        <w:div w:id="1505780532">
          <w:marLeft w:val="446"/>
          <w:marRight w:val="0"/>
          <w:marTop w:val="0"/>
          <w:marBottom w:val="0"/>
          <w:divBdr>
            <w:top w:val="none" w:sz="0" w:space="0" w:color="auto"/>
            <w:left w:val="none" w:sz="0" w:space="0" w:color="auto"/>
            <w:bottom w:val="none" w:sz="0" w:space="0" w:color="auto"/>
            <w:right w:val="none" w:sz="0" w:space="0" w:color="auto"/>
          </w:divBdr>
        </w:div>
        <w:div w:id="1658336396">
          <w:marLeft w:val="446"/>
          <w:marRight w:val="0"/>
          <w:marTop w:val="0"/>
          <w:marBottom w:val="0"/>
          <w:divBdr>
            <w:top w:val="none" w:sz="0" w:space="0" w:color="auto"/>
            <w:left w:val="none" w:sz="0" w:space="0" w:color="auto"/>
            <w:bottom w:val="none" w:sz="0" w:space="0" w:color="auto"/>
            <w:right w:val="none" w:sz="0" w:space="0" w:color="auto"/>
          </w:divBdr>
        </w:div>
        <w:div w:id="1876892266">
          <w:marLeft w:val="446"/>
          <w:marRight w:val="0"/>
          <w:marTop w:val="0"/>
          <w:marBottom w:val="0"/>
          <w:divBdr>
            <w:top w:val="none" w:sz="0" w:space="0" w:color="auto"/>
            <w:left w:val="none" w:sz="0" w:space="0" w:color="auto"/>
            <w:bottom w:val="none" w:sz="0" w:space="0" w:color="auto"/>
            <w:right w:val="none" w:sz="0" w:space="0" w:color="auto"/>
          </w:divBdr>
        </w:div>
        <w:div w:id="1895971097">
          <w:marLeft w:val="446"/>
          <w:marRight w:val="0"/>
          <w:marTop w:val="0"/>
          <w:marBottom w:val="0"/>
          <w:divBdr>
            <w:top w:val="none" w:sz="0" w:space="0" w:color="auto"/>
            <w:left w:val="none" w:sz="0" w:space="0" w:color="auto"/>
            <w:bottom w:val="none" w:sz="0" w:space="0" w:color="auto"/>
            <w:right w:val="none" w:sz="0" w:space="0" w:color="auto"/>
          </w:divBdr>
        </w:div>
        <w:div w:id="2101635075">
          <w:marLeft w:val="446"/>
          <w:marRight w:val="0"/>
          <w:marTop w:val="0"/>
          <w:marBottom w:val="0"/>
          <w:divBdr>
            <w:top w:val="none" w:sz="0" w:space="0" w:color="auto"/>
            <w:left w:val="none" w:sz="0" w:space="0" w:color="auto"/>
            <w:bottom w:val="none" w:sz="0" w:space="0" w:color="auto"/>
            <w:right w:val="none" w:sz="0" w:space="0" w:color="auto"/>
          </w:divBdr>
        </w:div>
        <w:div w:id="2121097758">
          <w:marLeft w:val="446"/>
          <w:marRight w:val="0"/>
          <w:marTop w:val="0"/>
          <w:marBottom w:val="0"/>
          <w:divBdr>
            <w:top w:val="none" w:sz="0" w:space="0" w:color="auto"/>
            <w:left w:val="none" w:sz="0" w:space="0" w:color="auto"/>
            <w:bottom w:val="none" w:sz="0" w:space="0" w:color="auto"/>
            <w:right w:val="none" w:sz="0" w:space="0" w:color="auto"/>
          </w:divBdr>
        </w:div>
      </w:divsChild>
    </w:div>
    <w:div w:id="175468023">
      <w:bodyDiv w:val="1"/>
      <w:marLeft w:val="0"/>
      <w:marRight w:val="0"/>
      <w:marTop w:val="0"/>
      <w:marBottom w:val="0"/>
      <w:divBdr>
        <w:top w:val="none" w:sz="0" w:space="0" w:color="auto"/>
        <w:left w:val="none" w:sz="0" w:space="0" w:color="auto"/>
        <w:bottom w:val="none" w:sz="0" w:space="0" w:color="auto"/>
        <w:right w:val="none" w:sz="0" w:space="0" w:color="auto"/>
      </w:divBdr>
    </w:div>
    <w:div w:id="182016917">
      <w:bodyDiv w:val="1"/>
      <w:marLeft w:val="0"/>
      <w:marRight w:val="0"/>
      <w:marTop w:val="0"/>
      <w:marBottom w:val="0"/>
      <w:divBdr>
        <w:top w:val="none" w:sz="0" w:space="0" w:color="auto"/>
        <w:left w:val="none" w:sz="0" w:space="0" w:color="auto"/>
        <w:bottom w:val="none" w:sz="0" w:space="0" w:color="auto"/>
        <w:right w:val="none" w:sz="0" w:space="0" w:color="auto"/>
      </w:divBdr>
      <w:divsChild>
        <w:div w:id="1087727400">
          <w:marLeft w:val="547"/>
          <w:marRight w:val="0"/>
          <w:marTop w:val="0"/>
          <w:marBottom w:val="0"/>
          <w:divBdr>
            <w:top w:val="none" w:sz="0" w:space="0" w:color="auto"/>
            <w:left w:val="none" w:sz="0" w:space="0" w:color="auto"/>
            <w:bottom w:val="none" w:sz="0" w:space="0" w:color="auto"/>
            <w:right w:val="none" w:sz="0" w:space="0" w:color="auto"/>
          </w:divBdr>
        </w:div>
        <w:div w:id="977343588">
          <w:marLeft w:val="547"/>
          <w:marRight w:val="0"/>
          <w:marTop w:val="0"/>
          <w:marBottom w:val="0"/>
          <w:divBdr>
            <w:top w:val="none" w:sz="0" w:space="0" w:color="auto"/>
            <w:left w:val="none" w:sz="0" w:space="0" w:color="auto"/>
            <w:bottom w:val="none" w:sz="0" w:space="0" w:color="auto"/>
            <w:right w:val="none" w:sz="0" w:space="0" w:color="auto"/>
          </w:divBdr>
        </w:div>
        <w:div w:id="674259149">
          <w:marLeft w:val="547"/>
          <w:marRight w:val="0"/>
          <w:marTop w:val="0"/>
          <w:marBottom w:val="0"/>
          <w:divBdr>
            <w:top w:val="none" w:sz="0" w:space="0" w:color="auto"/>
            <w:left w:val="none" w:sz="0" w:space="0" w:color="auto"/>
            <w:bottom w:val="none" w:sz="0" w:space="0" w:color="auto"/>
            <w:right w:val="none" w:sz="0" w:space="0" w:color="auto"/>
          </w:divBdr>
        </w:div>
        <w:div w:id="1515456176">
          <w:marLeft w:val="547"/>
          <w:marRight w:val="0"/>
          <w:marTop w:val="0"/>
          <w:marBottom w:val="0"/>
          <w:divBdr>
            <w:top w:val="none" w:sz="0" w:space="0" w:color="auto"/>
            <w:left w:val="none" w:sz="0" w:space="0" w:color="auto"/>
            <w:bottom w:val="none" w:sz="0" w:space="0" w:color="auto"/>
            <w:right w:val="none" w:sz="0" w:space="0" w:color="auto"/>
          </w:divBdr>
        </w:div>
      </w:divsChild>
    </w:div>
    <w:div w:id="303120938">
      <w:bodyDiv w:val="1"/>
      <w:marLeft w:val="0"/>
      <w:marRight w:val="0"/>
      <w:marTop w:val="0"/>
      <w:marBottom w:val="0"/>
      <w:divBdr>
        <w:top w:val="none" w:sz="0" w:space="0" w:color="auto"/>
        <w:left w:val="none" w:sz="0" w:space="0" w:color="auto"/>
        <w:bottom w:val="none" w:sz="0" w:space="0" w:color="auto"/>
        <w:right w:val="none" w:sz="0" w:space="0" w:color="auto"/>
      </w:divBdr>
      <w:divsChild>
        <w:div w:id="343440349">
          <w:marLeft w:val="547"/>
          <w:marRight w:val="0"/>
          <w:marTop w:val="0"/>
          <w:marBottom w:val="0"/>
          <w:divBdr>
            <w:top w:val="none" w:sz="0" w:space="0" w:color="auto"/>
            <w:left w:val="none" w:sz="0" w:space="0" w:color="auto"/>
            <w:bottom w:val="none" w:sz="0" w:space="0" w:color="auto"/>
            <w:right w:val="none" w:sz="0" w:space="0" w:color="auto"/>
          </w:divBdr>
        </w:div>
        <w:div w:id="764034621">
          <w:marLeft w:val="547"/>
          <w:marRight w:val="0"/>
          <w:marTop w:val="0"/>
          <w:marBottom w:val="0"/>
          <w:divBdr>
            <w:top w:val="none" w:sz="0" w:space="0" w:color="auto"/>
            <w:left w:val="none" w:sz="0" w:space="0" w:color="auto"/>
            <w:bottom w:val="none" w:sz="0" w:space="0" w:color="auto"/>
            <w:right w:val="none" w:sz="0" w:space="0" w:color="auto"/>
          </w:divBdr>
        </w:div>
        <w:div w:id="859781228">
          <w:marLeft w:val="547"/>
          <w:marRight w:val="0"/>
          <w:marTop w:val="0"/>
          <w:marBottom w:val="0"/>
          <w:divBdr>
            <w:top w:val="none" w:sz="0" w:space="0" w:color="auto"/>
            <w:left w:val="none" w:sz="0" w:space="0" w:color="auto"/>
            <w:bottom w:val="none" w:sz="0" w:space="0" w:color="auto"/>
            <w:right w:val="none" w:sz="0" w:space="0" w:color="auto"/>
          </w:divBdr>
        </w:div>
      </w:divsChild>
    </w:div>
    <w:div w:id="385221189">
      <w:bodyDiv w:val="1"/>
      <w:marLeft w:val="0"/>
      <w:marRight w:val="0"/>
      <w:marTop w:val="0"/>
      <w:marBottom w:val="0"/>
      <w:divBdr>
        <w:top w:val="none" w:sz="0" w:space="0" w:color="auto"/>
        <w:left w:val="none" w:sz="0" w:space="0" w:color="auto"/>
        <w:bottom w:val="none" w:sz="0" w:space="0" w:color="auto"/>
        <w:right w:val="none" w:sz="0" w:space="0" w:color="auto"/>
      </w:divBdr>
    </w:div>
    <w:div w:id="412287836">
      <w:bodyDiv w:val="1"/>
      <w:marLeft w:val="0"/>
      <w:marRight w:val="0"/>
      <w:marTop w:val="0"/>
      <w:marBottom w:val="0"/>
      <w:divBdr>
        <w:top w:val="none" w:sz="0" w:space="0" w:color="auto"/>
        <w:left w:val="none" w:sz="0" w:space="0" w:color="auto"/>
        <w:bottom w:val="none" w:sz="0" w:space="0" w:color="auto"/>
        <w:right w:val="none" w:sz="0" w:space="0" w:color="auto"/>
      </w:divBdr>
      <w:divsChild>
        <w:div w:id="249311741">
          <w:marLeft w:val="547"/>
          <w:marRight w:val="0"/>
          <w:marTop w:val="0"/>
          <w:marBottom w:val="0"/>
          <w:divBdr>
            <w:top w:val="none" w:sz="0" w:space="0" w:color="auto"/>
            <w:left w:val="none" w:sz="0" w:space="0" w:color="auto"/>
            <w:bottom w:val="none" w:sz="0" w:space="0" w:color="auto"/>
            <w:right w:val="none" w:sz="0" w:space="0" w:color="auto"/>
          </w:divBdr>
        </w:div>
        <w:div w:id="2051764260">
          <w:marLeft w:val="547"/>
          <w:marRight w:val="0"/>
          <w:marTop w:val="0"/>
          <w:marBottom w:val="0"/>
          <w:divBdr>
            <w:top w:val="none" w:sz="0" w:space="0" w:color="auto"/>
            <w:left w:val="none" w:sz="0" w:space="0" w:color="auto"/>
            <w:bottom w:val="none" w:sz="0" w:space="0" w:color="auto"/>
            <w:right w:val="none" w:sz="0" w:space="0" w:color="auto"/>
          </w:divBdr>
        </w:div>
        <w:div w:id="357394153">
          <w:marLeft w:val="547"/>
          <w:marRight w:val="0"/>
          <w:marTop w:val="0"/>
          <w:marBottom w:val="0"/>
          <w:divBdr>
            <w:top w:val="none" w:sz="0" w:space="0" w:color="auto"/>
            <w:left w:val="none" w:sz="0" w:space="0" w:color="auto"/>
            <w:bottom w:val="none" w:sz="0" w:space="0" w:color="auto"/>
            <w:right w:val="none" w:sz="0" w:space="0" w:color="auto"/>
          </w:divBdr>
        </w:div>
        <w:div w:id="1054238710">
          <w:marLeft w:val="547"/>
          <w:marRight w:val="0"/>
          <w:marTop w:val="0"/>
          <w:marBottom w:val="0"/>
          <w:divBdr>
            <w:top w:val="none" w:sz="0" w:space="0" w:color="auto"/>
            <w:left w:val="none" w:sz="0" w:space="0" w:color="auto"/>
            <w:bottom w:val="none" w:sz="0" w:space="0" w:color="auto"/>
            <w:right w:val="none" w:sz="0" w:space="0" w:color="auto"/>
          </w:divBdr>
        </w:div>
        <w:div w:id="533276135">
          <w:marLeft w:val="547"/>
          <w:marRight w:val="0"/>
          <w:marTop w:val="0"/>
          <w:marBottom w:val="0"/>
          <w:divBdr>
            <w:top w:val="none" w:sz="0" w:space="0" w:color="auto"/>
            <w:left w:val="none" w:sz="0" w:space="0" w:color="auto"/>
            <w:bottom w:val="none" w:sz="0" w:space="0" w:color="auto"/>
            <w:right w:val="none" w:sz="0" w:space="0" w:color="auto"/>
          </w:divBdr>
        </w:div>
      </w:divsChild>
    </w:div>
    <w:div w:id="425275120">
      <w:bodyDiv w:val="1"/>
      <w:marLeft w:val="0"/>
      <w:marRight w:val="0"/>
      <w:marTop w:val="0"/>
      <w:marBottom w:val="0"/>
      <w:divBdr>
        <w:top w:val="none" w:sz="0" w:space="0" w:color="auto"/>
        <w:left w:val="none" w:sz="0" w:space="0" w:color="auto"/>
        <w:bottom w:val="none" w:sz="0" w:space="0" w:color="auto"/>
        <w:right w:val="none" w:sz="0" w:space="0" w:color="auto"/>
      </w:divBdr>
      <w:divsChild>
        <w:div w:id="1951663029">
          <w:marLeft w:val="547"/>
          <w:marRight w:val="0"/>
          <w:marTop w:val="0"/>
          <w:marBottom w:val="0"/>
          <w:divBdr>
            <w:top w:val="none" w:sz="0" w:space="0" w:color="auto"/>
            <w:left w:val="none" w:sz="0" w:space="0" w:color="auto"/>
            <w:bottom w:val="none" w:sz="0" w:space="0" w:color="auto"/>
            <w:right w:val="none" w:sz="0" w:space="0" w:color="auto"/>
          </w:divBdr>
        </w:div>
        <w:div w:id="867596740">
          <w:marLeft w:val="547"/>
          <w:marRight w:val="0"/>
          <w:marTop w:val="0"/>
          <w:marBottom w:val="0"/>
          <w:divBdr>
            <w:top w:val="none" w:sz="0" w:space="0" w:color="auto"/>
            <w:left w:val="none" w:sz="0" w:space="0" w:color="auto"/>
            <w:bottom w:val="none" w:sz="0" w:space="0" w:color="auto"/>
            <w:right w:val="none" w:sz="0" w:space="0" w:color="auto"/>
          </w:divBdr>
        </w:div>
        <w:div w:id="796724986">
          <w:marLeft w:val="547"/>
          <w:marRight w:val="0"/>
          <w:marTop w:val="0"/>
          <w:marBottom w:val="0"/>
          <w:divBdr>
            <w:top w:val="none" w:sz="0" w:space="0" w:color="auto"/>
            <w:left w:val="none" w:sz="0" w:space="0" w:color="auto"/>
            <w:bottom w:val="none" w:sz="0" w:space="0" w:color="auto"/>
            <w:right w:val="none" w:sz="0" w:space="0" w:color="auto"/>
          </w:divBdr>
        </w:div>
      </w:divsChild>
    </w:div>
    <w:div w:id="438530143">
      <w:bodyDiv w:val="1"/>
      <w:marLeft w:val="0"/>
      <w:marRight w:val="0"/>
      <w:marTop w:val="0"/>
      <w:marBottom w:val="0"/>
      <w:divBdr>
        <w:top w:val="none" w:sz="0" w:space="0" w:color="auto"/>
        <w:left w:val="none" w:sz="0" w:space="0" w:color="auto"/>
        <w:bottom w:val="none" w:sz="0" w:space="0" w:color="auto"/>
        <w:right w:val="none" w:sz="0" w:space="0" w:color="auto"/>
      </w:divBdr>
    </w:div>
    <w:div w:id="462357904">
      <w:bodyDiv w:val="1"/>
      <w:marLeft w:val="0"/>
      <w:marRight w:val="0"/>
      <w:marTop w:val="0"/>
      <w:marBottom w:val="0"/>
      <w:divBdr>
        <w:top w:val="none" w:sz="0" w:space="0" w:color="auto"/>
        <w:left w:val="none" w:sz="0" w:space="0" w:color="auto"/>
        <w:bottom w:val="none" w:sz="0" w:space="0" w:color="auto"/>
        <w:right w:val="none" w:sz="0" w:space="0" w:color="auto"/>
      </w:divBdr>
      <w:divsChild>
        <w:div w:id="1913274120">
          <w:marLeft w:val="547"/>
          <w:marRight w:val="0"/>
          <w:marTop w:val="0"/>
          <w:marBottom w:val="0"/>
          <w:divBdr>
            <w:top w:val="none" w:sz="0" w:space="0" w:color="auto"/>
            <w:left w:val="none" w:sz="0" w:space="0" w:color="auto"/>
            <w:bottom w:val="none" w:sz="0" w:space="0" w:color="auto"/>
            <w:right w:val="none" w:sz="0" w:space="0" w:color="auto"/>
          </w:divBdr>
        </w:div>
        <w:div w:id="1253781509">
          <w:marLeft w:val="547"/>
          <w:marRight w:val="0"/>
          <w:marTop w:val="0"/>
          <w:marBottom w:val="0"/>
          <w:divBdr>
            <w:top w:val="none" w:sz="0" w:space="0" w:color="auto"/>
            <w:left w:val="none" w:sz="0" w:space="0" w:color="auto"/>
            <w:bottom w:val="none" w:sz="0" w:space="0" w:color="auto"/>
            <w:right w:val="none" w:sz="0" w:space="0" w:color="auto"/>
          </w:divBdr>
        </w:div>
        <w:div w:id="140343235">
          <w:marLeft w:val="547"/>
          <w:marRight w:val="0"/>
          <w:marTop w:val="0"/>
          <w:marBottom w:val="0"/>
          <w:divBdr>
            <w:top w:val="none" w:sz="0" w:space="0" w:color="auto"/>
            <w:left w:val="none" w:sz="0" w:space="0" w:color="auto"/>
            <w:bottom w:val="none" w:sz="0" w:space="0" w:color="auto"/>
            <w:right w:val="none" w:sz="0" w:space="0" w:color="auto"/>
          </w:divBdr>
        </w:div>
      </w:divsChild>
    </w:div>
    <w:div w:id="472672942">
      <w:bodyDiv w:val="1"/>
      <w:marLeft w:val="0"/>
      <w:marRight w:val="0"/>
      <w:marTop w:val="0"/>
      <w:marBottom w:val="0"/>
      <w:divBdr>
        <w:top w:val="none" w:sz="0" w:space="0" w:color="auto"/>
        <w:left w:val="none" w:sz="0" w:space="0" w:color="auto"/>
        <w:bottom w:val="none" w:sz="0" w:space="0" w:color="auto"/>
        <w:right w:val="none" w:sz="0" w:space="0" w:color="auto"/>
      </w:divBdr>
      <w:divsChild>
        <w:div w:id="2052028886">
          <w:marLeft w:val="547"/>
          <w:marRight w:val="0"/>
          <w:marTop w:val="0"/>
          <w:marBottom w:val="0"/>
          <w:divBdr>
            <w:top w:val="none" w:sz="0" w:space="0" w:color="auto"/>
            <w:left w:val="none" w:sz="0" w:space="0" w:color="auto"/>
            <w:bottom w:val="none" w:sz="0" w:space="0" w:color="auto"/>
            <w:right w:val="none" w:sz="0" w:space="0" w:color="auto"/>
          </w:divBdr>
        </w:div>
        <w:div w:id="1746102130">
          <w:marLeft w:val="547"/>
          <w:marRight w:val="0"/>
          <w:marTop w:val="0"/>
          <w:marBottom w:val="0"/>
          <w:divBdr>
            <w:top w:val="none" w:sz="0" w:space="0" w:color="auto"/>
            <w:left w:val="none" w:sz="0" w:space="0" w:color="auto"/>
            <w:bottom w:val="none" w:sz="0" w:space="0" w:color="auto"/>
            <w:right w:val="none" w:sz="0" w:space="0" w:color="auto"/>
          </w:divBdr>
        </w:div>
        <w:div w:id="1838304650">
          <w:marLeft w:val="547"/>
          <w:marRight w:val="0"/>
          <w:marTop w:val="0"/>
          <w:marBottom w:val="0"/>
          <w:divBdr>
            <w:top w:val="none" w:sz="0" w:space="0" w:color="auto"/>
            <w:left w:val="none" w:sz="0" w:space="0" w:color="auto"/>
            <w:bottom w:val="none" w:sz="0" w:space="0" w:color="auto"/>
            <w:right w:val="none" w:sz="0" w:space="0" w:color="auto"/>
          </w:divBdr>
        </w:div>
        <w:div w:id="302857527">
          <w:marLeft w:val="547"/>
          <w:marRight w:val="0"/>
          <w:marTop w:val="0"/>
          <w:marBottom w:val="0"/>
          <w:divBdr>
            <w:top w:val="none" w:sz="0" w:space="0" w:color="auto"/>
            <w:left w:val="none" w:sz="0" w:space="0" w:color="auto"/>
            <w:bottom w:val="none" w:sz="0" w:space="0" w:color="auto"/>
            <w:right w:val="none" w:sz="0" w:space="0" w:color="auto"/>
          </w:divBdr>
        </w:div>
        <w:div w:id="1474641134">
          <w:marLeft w:val="547"/>
          <w:marRight w:val="0"/>
          <w:marTop w:val="0"/>
          <w:marBottom w:val="0"/>
          <w:divBdr>
            <w:top w:val="none" w:sz="0" w:space="0" w:color="auto"/>
            <w:left w:val="none" w:sz="0" w:space="0" w:color="auto"/>
            <w:bottom w:val="none" w:sz="0" w:space="0" w:color="auto"/>
            <w:right w:val="none" w:sz="0" w:space="0" w:color="auto"/>
          </w:divBdr>
        </w:div>
      </w:divsChild>
    </w:div>
    <w:div w:id="501090225">
      <w:bodyDiv w:val="1"/>
      <w:marLeft w:val="0"/>
      <w:marRight w:val="0"/>
      <w:marTop w:val="0"/>
      <w:marBottom w:val="0"/>
      <w:divBdr>
        <w:top w:val="none" w:sz="0" w:space="0" w:color="auto"/>
        <w:left w:val="none" w:sz="0" w:space="0" w:color="auto"/>
        <w:bottom w:val="none" w:sz="0" w:space="0" w:color="auto"/>
        <w:right w:val="none" w:sz="0" w:space="0" w:color="auto"/>
      </w:divBdr>
    </w:div>
    <w:div w:id="517545589">
      <w:bodyDiv w:val="1"/>
      <w:marLeft w:val="0"/>
      <w:marRight w:val="0"/>
      <w:marTop w:val="0"/>
      <w:marBottom w:val="0"/>
      <w:divBdr>
        <w:top w:val="none" w:sz="0" w:space="0" w:color="auto"/>
        <w:left w:val="none" w:sz="0" w:space="0" w:color="auto"/>
        <w:bottom w:val="none" w:sz="0" w:space="0" w:color="auto"/>
        <w:right w:val="none" w:sz="0" w:space="0" w:color="auto"/>
      </w:divBdr>
    </w:div>
    <w:div w:id="595483711">
      <w:bodyDiv w:val="1"/>
      <w:marLeft w:val="0"/>
      <w:marRight w:val="0"/>
      <w:marTop w:val="0"/>
      <w:marBottom w:val="0"/>
      <w:divBdr>
        <w:top w:val="none" w:sz="0" w:space="0" w:color="auto"/>
        <w:left w:val="none" w:sz="0" w:space="0" w:color="auto"/>
        <w:bottom w:val="none" w:sz="0" w:space="0" w:color="auto"/>
        <w:right w:val="none" w:sz="0" w:space="0" w:color="auto"/>
      </w:divBdr>
      <w:divsChild>
        <w:div w:id="1221332259">
          <w:marLeft w:val="547"/>
          <w:marRight w:val="0"/>
          <w:marTop w:val="0"/>
          <w:marBottom w:val="0"/>
          <w:divBdr>
            <w:top w:val="none" w:sz="0" w:space="0" w:color="auto"/>
            <w:left w:val="none" w:sz="0" w:space="0" w:color="auto"/>
            <w:bottom w:val="none" w:sz="0" w:space="0" w:color="auto"/>
            <w:right w:val="none" w:sz="0" w:space="0" w:color="auto"/>
          </w:divBdr>
        </w:div>
        <w:div w:id="340934988">
          <w:marLeft w:val="547"/>
          <w:marRight w:val="0"/>
          <w:marTop w:val="0"/>
          <w:marBottom w:val="0"/>
          <w:divBdr>
            <w:top w:val="none" w:sz="0" w:space="0" w:color="auto"/>
            <w:left w:val="none" w:sz="0" w:space="0" w:color="auto"/>
            <w:bottom w:val="none" w:sz="0" w:space="0" w:color="auto"/>
            <w:right w:val="none" w:sz="0" w:space="0" w:color="auto"/>
          </w:divBdr>
        </w:div>
      </w:divsChild>
    </w:div>
    <w:div w:id="705445906">
      <w:bodyDiv w:val="1"/>
      <w:marLeft w:val="0"/>
      <w:marRight w:val="0"/>
      <w:marTop w:val="0"/>
      <w:marBottom w:val="0"/>
      <w:divBdr>
        <w:top w:val="none" w:sz="0" w:space="0" w:color="auto"/>
        <w:left w:val="none" w:sz="0" w:space="0" w:color="auto"/>
        <w:bottom w:val="none" w:sz="0" w:space="0" w:color="auto"/>
        <w:right w:val="none" w:sz="0" w:space="0" w:color="auto"/>
      </w:divBdr>
    </w:div>
    <w:div w:id="707484609">
      <w:bodyDiv w:val="1"/>
      <w:marLeft w:val="0"/>
      <w:marRight w:val="0"/>
      <w:marTop w:val="0"/>
      <w:marBottom w:val="0"/>
      <w:divBdr>
        <w:top w:val="none" w:sz="0" w:space="0" w:color="auto"/>
        <w:left w:val="none" w:sz="0" w:space="0" w:color="auto"/>
        <w:bottom w:val="none" w:sz="0" w:space="0" w:color="auto"/>
        <w:right w:val="none" w:sz="0" w:space="0" w:color="auto"/>
      </w:divBdr>
      <w:divsChild>
        <w:div w:id="1253394884">
          <w:marLeft w:val="547"/>
          <w:marRight w:val="0"/>
          <w:marTop w:val="0"/>
          <w:marBottom w:val="0"/>
          <w:divBdr>
            <w:top w:val="none" w:sz="0" w:space="0" w:color="auto"/>
            <w:left w:val="none" w:sz="0" w:space="0" w:color="auto"/>
            <w:bottom w:val="none" w:sz="0" w:space="0" w:color="auto"/>
            <w:right w:val="none" w:sz="0" w:space="0" w:color="auto"/>
          </w:divBdr>
        </w:div>
        <w:div w:id="1309632597">
          <w:marLeft w:val="547"/>
          <w:marRight w:val="0"/>
          <w:marTop w:val="0"/>
          <w:marBottom w:val="0"/>
          <w:divBdr>
            <w:top w:val="none" w:sz="0" w:space="0" w:color="auto"/>
            <w:left w:val="none" w:sz="0" w:space="0" w:color="auto"/>
            <w:bottom w:val="none" w:sz="0" w:space="0" w:color="auto"/>
            <w:right w:val="none" w:sz="0" w:space="0" w:color="auto"/>
          </w:divBdr>
        </w:div>
      </w:divsChild>
    </w:div>
    <w:div w:id="721102946">
      <w:bodyDiv w:val="1"/>
      <w:marLeft w:val="0"/>
      <w:marRight w:val="0"/>
      <w:marTop w:val="0"/>
      <w:marBottom w:val="0"/>
      <w:divBdr>
        <w:top w:val="none" w:sz="0" w:space="0" w:color="auto"/>
        <w:left w:val="none" w:sz="0" w:space="0" w:color="auto"/>
        <w:bottom w:val="none" w:sz="0" w:space="0" w:color="auto"/>
        <w:right w:val="none" w:sz="0" w:space="0" w:color="auto"/>
      </w:divBdr>
    </w:div>
    <w:div w:id="741676888">
      <w:bodyDiv w:val="1"/>
      <w:marLeft w:val="0"/>
      <w:marRight w:val="0"/>
      <w:marTop w:val="0"/>
      <w:marBottom w:val="0"/>
      <w:divBdr>
        <w:top w:val="none" w:sz="0" w:space="0" w:color="auto"/>
        <w:left w:val="none" w:sz="0" w:space="0" w:color="auto"/>
        <w:bottom w:val="none" w:sz="0" w:space="0" w:color="auto"/>
        <w:right w:val="none" w:sz="0" w:space="0" w:color="auto"/>
      </w:divBdr>
    </w:div>
    <w:div w:id="767195964">
      <w:bodyDiv w:val="1"/>
      <w:marLeft w:val="0"/>
      <w:marRight w:val="0"/>
      <w:marTop w:val="0"/>
      <w:marBottom w:val="0"/>
      <w:divBdr>
        <w:top w:val="none" w:sz="0" w:space="0" w:color="auto"/>
        <w:left w:val="none" w:sz="0" w:space="0" w:color="auto"/>
        <w:bottom w:val="none" w:sz="0" w:space="0" w:color="auto"/>
        <w:right w:val="none" w:sz="0" w:space="0" w:color="auto"/>
      </w:divBdr>
      <w:divsChild>
        <w:div w:id="176040073">
          <w:marLeft w:val="547"/>
          <w:marRight w:val="0"/>
          <w:marTop w:val="0"/>
          <w:marBottom w:val="0"/>
          <w:divBdr>
            <w:top w:val="none" w:sz="0" w:space="0" w:color="auto"/>
            <w:left w:val="none" w:sz="0" w:space="0" w:color="auto"/>
            <w:bottom w:val="none" w:sz="0" w:space="0" w:color="auto"/>
            <w:right w:val="none" w:sz="0" w:space="0" w:color="auto"/>
          </w:divBdr>
        </w:div>
      </w:divsChild>
    </w:div>
    <w:div w:id="873733085">
      <w:bodyDiv w:val="1"/>
      <w:marLeft w:val="0"/>
      <w:marRight w:val="0"/>
      <w:marTop w:val="0"/>
      <w:marBottom w:val="0"/>
      <w:divBdr>
        <w:top w:val="none" w:sz="0" w:space="0" w:color="auto"/>
        <w:left w:val="none" w:sz="0" w:space="0" w:color="auto"/>
        <w:bottom w:val="none" w:sz="0" w:space="0" w:color="auto"/>
        <w:right w:val="none" w:sz="0" w:space="0" w:color="auto"/>
      </w:divBdr>
      <w:divsChild>
        <w:div w:id="1901818546">
          <w:marLeft w:val="547"/>
          <w:marRight w:val="0"/>
          <w:marTop w:val="0"/>
          <w:marBottom w:val="0"/>
          <w:divBdr>
            <w:top w:val="none" w:sz="0" w:space="0" w:color="auto"/>
            <w:left w:val="none" w:sz="0" w:space="0" w:color="auto"/>
            <w:bottom w:val="none" w:sz="0" w:space="0" w:color="auto"/>
            <w:right w:val="none" w:sz="0" w:space="0" w:color="auto"/>
          </w:divBdr>
        </w:div>
      </w:divsChild>
    </w:div>
    <w:div w:id="909735451">
      <w:bodyDiv w:val="1"/>
      <w:marLeft w:val="0"/>
      <w:marRight w:val="0"/>
      <w:marTop w:val="0"/>
      <w:marBottom w:val="0"/>
      <w:divBdr>
        <w:top w:val="none" w:sz="0" w:space="0" w:color="auto"/>
        <w:left w:val="none" w:sz="0" w:space="0" w:color="auto"/>
        <w:bottom w:val="none" w:sz="0" w:space="0" w:color="auto"/>
        <w:right w:val="none" w:sz="0" w:space="0" w:color="auto"/>
      </w:divBdr>
    </w:div>
    <w:div w:id="921380365">
      <w:bodyDiv w:val="1"/>
      <w:marLeft w:val="0"/>
      <w:marRight w:val="0"/>
      <w:marTop w:val="0"/>
      <w:marBottom w:val="0"/>
      <w:divBdr>
        <w:top w:val="none" w:sz="0" w:space="0" w:color="auto"/>
        <w:left w:val="none" w:sz="0" w:space="0" w:color="auto"/>
        <w:bottom w:val="none" w:sz="0" w:space="0" w:color="auto"/>
        <w:right w:val="none" w:sz="0" w:space="0" w:color="auto"/>
      </w:divBdr>
    </w:div>
    <w:div w:id="929852146">
      <w:bodyDiv w:val="1"/>
      <w:marLeft w:val="0"/>
      <w:marRight w:val="0"/>
      <w:marTop w:val="0"/>
      <w:marBottom w:val="0"/>
      <w:divBdr>
        <w:top w:val="none" w:sz="0" w:space="0" w:color="auto"/>
        <w:left w:val="none" w:sz="0" w:space="0" w:color="auto"/>
        <w:bottom w:val="none" w:sz="0" w:space="0" w:color="auto"/>
        <w:right w:val="none" w:sz="0" w:space="0" w:color="auto"/>
      </w:divBdr>
    </w:div>
    <w:div w:id="934435766">
      <w:bodyDiv w:val="1"/>
      <w:marLeft w:val="0"/>
      <w:marRight w:val="0"/>
      <w:marTop w:val="0"/>
      <w:marBottom w:val="0"/>
      <w:divBdr>
        <w:top w:val="none" w:sz="0" w:space="0" w:color="auto"/>
        <w:left w:val="none" w:sz="0" w:space="0" w:color="auto"/>
        <w:bottom w:val="none" w:sz="0" w:space="0" w:color="auto"/>
        <w:right w:val="none" w:sz="0" w:space="0" w:color="auto"/>
      </w:divBdr>
    </w:div>
    <w:div w:id="1056440472">
      <w:bodyDiv w:val="1"/>
      <w:marLeft w:val="0"/>
      <w:marRight w:val="0"/>
      <w:marTop w:val="0"/>
      <w:marBottom w:val="0"/>
      <w:divBdr>
        <w:top w:val="none" w:sz="0" w:space="0" w:color="auto"/>
        <w:left w:val="none" w:sz="0" w:space="0" w:color="auto"/>
        <w:bottom w:val="none" w:sz="0" w:space="0" w:color="auto"/>
        <w:right w:val="none" w:sz="0" w:space="0" w:color="auto"/>
      </w:divBdr>
      <w:divsChild>
        <w:div w:id="630986938">
          <w:marLeft w:val="547"/>
          <w:marRight w:val="0"/>
          <w:marTop w:val="0"/>
          <w:marBottom w:val="0"/>
          <w:divBdr>
            <w:top w:val="none" w:sz="0" w:space="0" w:color="auto"/>
            <w:left w:val="none" w:sz="0" w:space="0" w:color="auto"/>
            <w:bottom w:val="none" w:sz="0" w:space="0" w:color="auto"/>
            <w:right w:val="none" w:sz="0" w:space="0" w:color="auto"/>
          </w:divBdr>
        </w:div>
        <w:div w:id="1561361772">
          <w:marLeft w:val="547"/>
          <w:marRight w:val="0"/>
          <w:marTop w:val="0"/>
          <w:marBottom w:val="0"/>
          <w:divBdr>
            <w:top w:val="none" w:sz="0" w:space="0" w:color="auto"/>
            <w:left w:val="none" w:sz="0" w:space="0" w:color="auto"/>
            <w:bottom w:val="none" w:sz="0" w:space="0" w:color="auto"/>
            <w:right w:val="none" w:sz="0" w:space="0" w:color="auto"/>
          </w:divBdr>
        </w:div>
        <w:div w:id="920528343">
          <w:marLeft w:val="547"/>
          <w:marRight w:val="0"/>
          <w:marTop w:val="0"/>
          <w:marBottom w:val="0"/>
          <w:divBdr>
            <w:top w:val="none" w:sz="0" w:space="0" w:color="auto"/>
            <w:left w:val="none" w:sz="0" w:space="0" w:color="auto"/>
            <w:bottom w:val="none" w:sz="0" w:space="0" w:color="auto"/>
            <w:right w:val="none" w:sz="0" w:space="0" w:color="auto"/>
          </w:divBdr>
        </w:div>
      </w:divsChild>
    </w:div>
    <w:div w:id="1058168009">
      <w:bodyDiv w:val="1"/>
      <w:marLeft w:val="0"/>
      <w:marRight w:val="0"/>
      <w:marTop w:val="0"/>
      <w:marBottom w:val="0"/>
      <w:divBdr>
        <w:top w:val="none" w:sz="0" w:space="0" w:color="auto"/>
        <w:left w:val="none" w:sz="0" w:space="0" w:color="auto"/>
        <w:bottom w:val="none" w:sz="0" w:space="0" w:color="auto"/>
        <w:right w:val="none" w:sz="0" w:space="0" w:color="auto"/>
      </w:divBdr>
      <w:divsChild>
        <w:div w:id="1253316646">
          <w:marLeft w:val="547"/>
          <w:marRight w:val="0"/>
          <w:marTop w:val="0"/>
          <w:marBottom w:val="0"/>
          <w:divBdr>
            <w:top w:val="none" w:sz="0" w:space="0" w:color="auto"/>
            <w:left w:val="none" w:sz="0" w:space="0" w:color="auto"/>
            <w:bottom w:val="none" w:sz="0" w:space="0" w:color="auto"/>
            <w:right w:val="none" w:sz="0" w:space="0" w:color="auto"/>
          </w:divBdr>
        </w:div>
        <w:div w:id="1629124017">
          <w:marLeft w:val="547"/>
          <w:marRight w:val="0"/>
          <w:marTop w:val="0"/>
          <w:marBottom w:val="0"/>
          <w:divBdr>
            <w:top w:val="none" w:sz="0" w:space="0" w:color="auto"/>
            <w:left w:val="none" w:sz="0" w:space="0" w:color="auto"/>
            <w:bottom w:val="none" w:sz="0" w:space="0" w:color="auto"/>
            <w:right w:val="none" w:sz="0" w:space="0" w:color="auto"/>
          </w:divBdr>
        </w:div>
      </w:divsChild>
    </w:div>
    <w:div w:id="1162311630">
      <w:bodyDiv w:val="1"/>
      <w:marLeft w:val="0"/>
      <w:marRight w:val="0"/>
      <w:marTop w:val="0"/>
      <w:marBottom w:val="0"/>
      <w:divBdr>
        <w:top w:val="none" w:sz="0" w:space="0" w:color="auto"/>
        <w:left w:val="none" w:sz="0" w:space="0" w:color="auto"/>
        <w:bottom w:val="none" w:sz="0" w:space="0" w:color="auto"/>
        <w:right w:val="none" w:sz="0" w:space="0" w:color="auto"/>
      </w:divBdr>
    </w:div>
    <w:div w:id="1163475726">
      <w:bodyDiv w:val="1"/>
      <w:marLeft w:val="0"/>
      <w:marRight w:val="0"/>
      <w:marTop w:val="0"/>
      <w:marBottom w:val="0"/>
      <w:divBdr>
        <w:top w:val="none" w:sz="0" w:space="0" w:color="auto"/>
        <w:left w:val="none" w:sz="0" w:space="0" w:color="auto"/>
        <w:bottom w:val="none" w:sz="0" w:space="0" w:color="auto"/>
        <w:right w:val="none" w:sz="0" w:space="0" w:color="auto"/>
      </w:divBdr>
    </w:div>
    <w:div w:id="1181507895">
      <w:bodyDiv w:val="1"/>
      <w:marLeft w:val="0"/>
      <w:marRight w:val="0"/>
      <w:marTop w:val="0"/>
      <w:marBottom w:val="0"/>
      <w:divBdr>
        <w:top w:val="none" w:sz="0" w:space="0" w:color="auto"/>
        <w:left w:val="none" w:sz="0" w:space="0" w:color="auto"/>
        <w:bottom w:val="none" w:sz="0" w:space="0" w:color="auto"/>
        <w:right w:val="none" w:sz="0" w:space="0" w:color="auto"/>
      </w:divBdr>
      <w:divsChild>
        <w:div w:id="709106875">
          <w:marLeft w:val="547"/>
          <w:marRight w:val="0"/>
          <w:marTop w:val="0"/>
          <w:marBottom w:val="0"/>
          <w:divBdr>
            <w:top w:val="none" w:sz="0" w:space="0" w:color="auto"/>
            <w:left w:val="none" w:sz="0" w:space="0" w:color="auto"/>
            <w:bottom w:val="none" w:sz="0" w:space="0" w:color="auto"/>
            <w:right w:val="none" w:sz="0" w:space="0" w:color="auto"/>
          </w:divBdr>
        </w:div>
      </w:divsChild>
    </w:div>
    <w:div w:id="1186941926">
      <w:bodyDiv w:val="1"/>
      <w:marLeft w:val="0"/>
      <w:marRight w:val="0"/>
      <w:marTop w:val="0"/>
      <w:marBottom w:val="0"/>
      <w:divBdr>
        <w:top w:val="none" w:sz="0" w:space="0" w:color="auto"/>
        <w:left w:val="none" w:sz="0" w:space="0" w:color="auto"/>
        <w:bottom w:val="none" w:sz="0" w:space="0" w:color="auto"/>
        <w:right w:val="none" w:sz="0" w:space="0" w:color="auto"/>
      </w:divBdr>
      <w:divsChild>
        <w:div w:id="238059480">
          <w:marLeft w:val="547"/>
          <w:marRight w:val="0"/>
          <w:marTop w:val="0"/>
          <w:marBottom w:val="0"/>
          <w:divBdr>
            <w:top w:val="none" w:sz="0" w:space="0" w:color="auto"/>
            <w:left w:val="none" w:sz="0" w:space="0" w:color="auto"/>
            <w:bottom w:val="none" w:sz="0" w:space="0" w:color="auto"/>
            <w:right w:val="none" w:sz="0" w:space="0" w:color="auto"/>
          </w:divBdr>
        </w:div>
        <w:div w:id="79908994">
          <w:marLeft w:val="547"/>
          <w:marRight w:val="0"/>
          <w:marTop w:val="0"/>
          <w:marBottom w:val="0"/>
          <w:divBdr>
            <w:top w:val="none" w:sz="0" w:space="0" w:color="auto"/>
            <w:left w:val="none" w:sz="0" w:space="0" w:color="auto"/>
            <w:bottom w:val="none" w:sz="0" w:space="0" w:color="auto"/>
            <w:right w:val="none" w:sz="0" w:space="0" w:color="auto"/>
          </w:divBdr>
        </w:div>
        <w:div w:id="79447317">
          <w:marLeft w:val="547"/>
          <w:marRight w:val="0"/>
          <w:marTop w:val="0"/>
          <w:marBottom w:val="0"/>
          <w:divBdr>
            <w:top w:val="none" w:sz="0" w:space="0" w:color="auto"/>
            <w:left w:val="none" w:sz="0" w:space="0" w:color="auto"/>
            <w:bottom w:val="none" w:sz="0" w:space="0" w:color="auto"/>
            <w:right w:val="none" w:sz="0" w:space="0" w:color="auto"/>
          </w:divBdr>
        </w:div>
      </w:divsChild>
    </w:div>
    <w:div w:id="1224213260">
      <w:bodyDiv w:val="1"/>
      <w:marLeft w:val="0"/>
      <w:marRight w:val="0"/>
      <w:marTop w:val="0"/>
      <w:marBottom w:val="0"/>
      <w:divBdr>
        <w:top w:val="none" w:sz="0" w:space="0" w:color="auto"/>
        <w:left w:val="none" w:sz="0" w:space="0" w:color="auto"/>
        <w:bottom w:val="none" w:sz="0" w:space="0" w:color="auto"/>
        <w:right w:val="none" w:sz="0" w:space="0" w:color="auto"/>
      </w:divBdr>
      <w:divsChild>
        <w:div w:id="1774133062">
          <w:marLeft w:val="547"/>
          <w:marRight w:val="0"/>
          <w:marTop w:val="0"/>
          <w:marBottom w:val="0"/>
          <w:divBdr>
            <w:top w:val="none" w:sz="0" w:space="0" w:color="auto"/>
            <w:left w:val="none" w:sz="0" w:space="0" w:color="auto"/>
            <w:bottom w:val="none" w:sz="0" w:space="0" w:color="auto"/>
            <w:right w:val="none" w:sz="0" w:space="0" w:color="auto"/>
          </w:divBdr>
        </w:div>
        <w:div w:id="111636436">
          <w:marLeft w:val="547"/>
          <w:marRight w:val="0"/>
          <w:marTop w:val="0"/>
          <w:marBottom w:val="0"/>
          <w:divBdr>
            <w:top w:val="none" w:sz="0" w:space="0" w:color="auto"/>
            <w:left w:val="none" w:sz="0" w:space="0" w:color="auto"/>
            <w:bottom w:val="none" w:sz="0" w:space="0" w:color="auto"/>
            <w:right w:val="none" w:sz="0" w:space="0" w:color="auto"/>
          </w:divBdr>
        </w:div>
      </w:divsChild>
    </w:div>
    <w:div w:id="1226990983">
      <w:bodyDiv w:val="1"/>
      <w:marLeft w:val="0"/>
      <w:marRight w:val="0"/>
      <w:marTop w:val="0"/>
      <w:marBottom w:val="0"/>
      <w:divBdr>
        <w:top w:val="none" w:sz="0" w:space="0" w:color="auto"/>
        <w:left w:val="none" w:sz="0" w:space="0" w:color="auto"/>
        <w:bottom w:val="none" w:sz="0" w:space="0" w:color="auto"/>
        <w:right w:val="none" w:sz="0" w:space="0" w:color="auto"/>
      </w:divBdr>
      <w:divsChild>
        <w:div w:id="1943759509">
          <w:marLeft w:val="547"/>
          <w:marRight w:val="0"/>
          <w:marTop w:val="0"/>
          <w:marBottom w:val="0"/>
          <w:divBdr>
            <w:top w:val="none" w:sz="0" w:space="0" w:color="auto"/>
            <w:left w:val="none" w:sz="0" w:space="0" w:color="auto"/>
            <w:bottom w:val="none" w:sz="0" w:space="0" w:color="auto"/>
            <w:right w:val="none" w:sz="0" w:space="0" w:color="auto"/>
          </w:divBdr>
        </w:div>
        <w:div w:id="1674062368">
          <w:marLeft w:val="547"/>
          <w:marRight w:val="0"/>
          <w:marTop w:val="0"/>
          <w:marBottom w:val="0"/>
          <w:divBdr>
            <w:top w:val="none" w:sz="0" w:space="0" w:color="auto"/>
            <w:left w:val="none" w:sz="0" w:space="0" w:color="auto"/>
            <w:bottom w:val="none" w:sz="0" w:space="0" w:color="auto"/>
            <w:right w:val="none" w:sz="0" w:space="0" w:color="auto"/>
          </w:divBdr>
        </w:div>
        <w:div w:id="1269969739">
          <w:marLeft w:val="547"/>
          <w:marRight w:val="0"/>
          <w:marTop w:val="0"/>
          <w:marBottom w:val="0"/>
          <w:divBdr>
            <w:top w:val="none" w:sz="0" w:space="0" w:color="auto"/>
            <w:left w:val="none" w:sz="0" w:space="0" w:color="auto"/>
            <w:bottom w:val="none" w:sz="0" w:space="0" w:color="auto"/>
            <w:right w:val="none" w:sz="0" w:space="0" w:color="auto"/>
          </w:divBdr>
        </w:div>
      </w:divsChild>
    </w:div>
    <w:div w:id="1261795637">
      <w:bodyDiv w:val="1"/>
      <w:marLeft w:val="0"/>
      <w:marRight w:val="0"/>
      <w:marTop w:val="0"/>
      <w:marBottom w:val="0"/>
      <w:divBdr>
        <w:top w:val="none" w:sz="0" w:space="0" w:color="auto"/>
        <w:left w:val="none" w:sz="0" w:space="0" w:color="auto"/>
        <w:bottom w:val="none" w:sz="0" w:space="0" w:color="auto"/>
        <w:right w:val="none" w:sz="0" w:space="0" w:color="auto"/>
      </w:divBdr>
    </w:div>
    <w:div w:id="1291475804">
      <w:bodyDiv w:val="1"/>
      <w:marLeft w:val="0"/>
      <w:marRight w:val="0"/>
      <w:marTop w:val="0"/>
      <w:marBottom w:val="0"/>
      <w:divBdr>
        <w:top w:val="none" w:sz="0" w:space="0" w:color="auto"/>
        <w:left w:val="none" w:sz="0" w:space="0" w:color="auto"/>
        <w:bottom w:val="none" w:sz="0" w:space="0" w:color="auto"/>
        <w:right w:val="none" w:sz="0" w:space="0" w:color="auto"/>
      </w:divBdr>
      <w:divsChild>
        <w:div w:id="886525129">
          <w:marLeft w:val="547"/>
          <w:marRight w:val="0"/>
          <w:marTop w:val="0"/>
          <w:marBottom w:val="0"/>
          <w:divBdr>
            <w:top w:val="none" w:sz="0" w:space="0" w:color="auto"/>
            <w:left w:val="none" w:sz="0" w:space="0" w:color="auto"/>
            <w:bottom w:val="none" w:sz="0" w:space="0" w:color="auto"/>
            <w:right w:val="none" w:sz="0" w:space="0" w:color="auto"/>
          </w:divBdr>
        </w:div>
      </w:divsChild>
    </w:div>
    <w:div w:id="1328092580">
      <w:bodyDiv w:val="1"/>
      <w:marLeft w:val="0"/>
      <w:marRight w:val="0"/>
      <w:marTop w:val="0"/>
      <w:marBottom w:val="0"/>
      <w:divBdr>
        <w:top w:val="none" w:sz="0" w:space="0" w:color="auto"/>
        <w:left w:val="none" w:sz="0" w:space="0" w:color="auto"/>
        <w:bottom w:val="none" w:sz="0" w:space="0" w:color="auto"/>
        <w:right w:val="none" w:sz="0" w:space="0" w:color="auto"/>
      </w:divBdr>
    </w:div>
    <w:div w:id="1381057948">
      <w:bodyDiv w:val="1"/>
      <w:marLeft w:val="0"/>
      <w:marRight w:val="0"/>
      <w:marTop w:val="0"/>
      <w:marBottom w:val="0"/>
      <w:divBdr>
        <w:top w:val="none" w:sz="0" w:space="0" w:color="auto"/>
        <w:left w:val="none" w:sz="0" w:space="0" w:color="auto"/>
        <w:bottom w:val="none" w:sz="0" w:space="0" w:color="auto"/>
        <w:right w:val="none" w:sz="0" w:space="0" w:color="auto"/>
      </w:divBdr>
    </w:div>
    <w:div w:id="1386106118">
      <w:bodyDiv w:val="1"/>
      <w:marLeft w:val="0"/>
      <w:marRight w:val="0"/>
      <w:marTop w:val="0"/>
      <w:marBottom w:val="0"/>
      <w:divBdr>
        <w:top w:val="none" w:sz="0" w:space="0" w:color="auto"/>
        <w:left w:val="none" w:sz="0" w:space="0" w:color="auto"/>
        <w:bottom w:val="none" w:sz="0" w:space="0" w:color="auto"/>
        <w:right w:val="none" w:sz="0" w:space="0" w:color="auto"/>
      </w:divBdr>
    </w:div>
    <w:div w:id="1497109048">
      <w:bodyDiv w:val="1"/>
      <w:marLeft w:val="0"/>
      <w:marRight w:val="0"/>
      <w:marTop w:val="0"/>
      <w:marBottom w:val="0"/>
      <w:divBdr>
        <w:top w:val="none" w:sz="0" w:space="0" w:color="auto"/>
        <w:left w:val="none" w:sz="0" w:space="0" w:color="auto"/>
        <w:bottom w:val="none" w:sz="0" w:space="0" w:color="auto"/>
        <w:right w:val="none" w:sz="0" w:space="0" w:color="auto"/>
      </w:divBdr>
    </w:div>
    <w:div w:id="1524127405">
      <w:bodyDiv w:val="1"/>
      <w:marLeft w:val="0"/>
      <w:marRight w:val="0"/>
      <w:marTop w:val="0"/>
      <w:marBottom w:val="0"/>
      <w:divBdr>
        <w:top w:val="none" w:sz="0" w:space="0" w:color="auto"/>
        <w:left w:val="none" w:sz="0" w:space="0" w:color="auto"/>
        <w:bottom w:val="none" w:sz="0" w:space="0" w:color="auto"/>
        <w:right w:val="none" w:sz="0" w:space="0" w:color="auto"/>
      </w:divBdr>
      <w:divsChild>
        <w:div w:id="35815048">
          <w:marLeft w:val="446"/>
          <w:marRight w:val="0"/>
          <w:marTop w:val="0"/>
          <w:marBottom w:val="0"/>
          <w:divBdr>
            <w:top w:val="none" w:sz="0" w:space="0" w:color="auto"/>
            <w:left w:val="none" w:sz="0" w:space="0" w:color="auto"/>
            <w:bottom w:val="none" w:sz="0" w:space="0" w:color="auto"/>
            <w:right w:val="none" w:sz="0" w:space="0" w:color="auto"/>
          </w:divBdr>
        </w:div>
        <w:div w:id="50426681">
          <w:marLeft w:val="446"/>
          <w:marRight w:val="0"/>
          <w:marTop w:val="0"/>
          <w:marBottom w:val="0"/>
          <w:divBdr>
            <w:top w:val="none" w:sz="0" w:space="0" w:color="auto"/>
            <w:left w:val="none" w:sz="0" w:space="0" w:color="auto"/>
            <w:bottom w:val="none" w:sz="0" w:space="0" w:color="auto"/>
            <w:right w:val="none" w:sz="0" w:space="0" w:color="auto"/>
          </w:divBdr>
        </w:div>
        <w:div w:id="230119987">
          <w:marLeft w:val="446"/>
          <w:marRight w:val="0"/>
          <w:marTop w:val="0"/>
          <w:marBottom w:val="0"/>
          <w:divBdr>
            <w:top w:val="none" w:sz="0" w:space="0" w:color="auto"/>
            <w:left w:val="none" w:sz="0" w:space="0" w:color="auto"/>
            <w:bottom w:val="none" w:sz="0" w:space="0" w:color="auto"/>
            <w:right w:val="none" w:sz="0" w:space="0" w:color="auto"/>
          </w:divBdr>
        </w:div>
        <w:div w:id="272784463">
          <w:marLeft w:val="446"/>
          <w:marRight w:val="0"/>
          <w:marTop w:val="0"/>
          <w:marBottom w:val="0"/>
          <w:divBdr>
            <w:top w:val="none" w:sz="0" w:space="0" w:color="auto"/>
            <w:left w:val="none" w:sz="0" w:space="0" w:color="auto"/>
            <w:bottom w:val="none" w:sz="0" w:space="0" w:color="auto"/>
            <w:right w:val="none" w:sz="0" w:space="0" w:color="auto"/>
          </w:divBdr>
        </w:div>
        <w:div w:id="335115176">
          <w:marLeft w:val="446"/>
          <w:marRight w:val="0"/>
          <w:marTop w:val="0"/>
          <w:marBottom w:val="0"/>
          <w:divBdr>
            <w:top w:val="none" w:sz="0" w:space="0" w:color="auto"/>
            <w:left w:val="none" w:sz="0" w:space="0" w:color="auto"/>
            <w:bottom w:val="none" w:sz="0" w:space="0" w:color="auto"/>
            <w:right w:val="none" w:sz="0" w:space="0" w:color="auto"/>
          </w:divBdr>
        </w:div>
        <w:div w:id="537015295">
          <w:marLeft w:val="446"/>
          <w:marRight w:val="0"/>
          <w:marTop w:val="0"/>
          <w:marBottom w:val="0"/>
          <w:divBdr>
            <w:top w:val="none" w:sz="0" w:space="0" w:color="auto"/>
            <w:left w:val="none" w:sz="0" w:space="0" w:color="auto"/>
            <w:bottom w:val="none" w:sz="0" w:space="0" w:color="auto"/>
            <w:right w:val="none" w:sz="0" w:space="0" w:color="auto"/>
          </w:divBdr>
        </w:div>
        <w:div w:id="550574716">
          <w:marLeft w:val="446"/>
          <w:marRight w:val="0"/>
          <w:marTop w:val="0"/>
          <w:marBottom w:val="0"/>
          <w:divBdr>
            <w:top w:val="none" w:sz="0" w:space="0" w:color="auto"/>
            <w:left w:val="none" w:sz="0" w:space="0" w:color="auto"/>
            <w:bottom w:val="none" w:sz="0" w:space="0" w:color="auto"/>
            <w:right w:val="none" w:sz="0" w:space="0" w:color="auto"/>
          </w:divBdr>
        </w:div>
        <w:div w:id="657881971">
          <w:marLeft w:val="446"/>
          <w:marRight w:val="0"/>
          <w:marTop w:val="0"/>
          <w:marBottom w:val="0"/>
          <w:divBdr>
            <w:top w:val="none" w:sz="0" w:space="0" w:color="auto"/>
            <w:left w:val="none" w:sz="0" w:space="0" w:color="auto"/>
            <w:bottom w:val="none" w:sz="0" w:space="0" w:color="auto"/>
            <w:right w:val="none" w:sz="0" w:space="0" w:color="auto"/>
          </w:divBdr>
        </w:div>
        <w:div w:id="721363939">
          <w:marLeft w:val="446"/>
          <w:marRight w:val="0"/>
          <w:marTop w:val="0"/>
          <w:marBottom w:val="0"/>
          <w:divBdr>
            <w:top w:val="none" w:sz="0" w:space="0" w:color="auto"/>
            <w:left w:val="none" w:sz="0" w:space="0" w:color="auto"/>
            <w:bottom w:val="none" w:sz="0" w:space="0" w:color="auto"/>
            <w:right w:val="none" w:sz="0" w:space="0" w:color="auto"/>
          </w:divBdr>
        </w:div>
        <w:div w:id="725643616">
          <w:marLeft w:val="446"/>
          <w:marRight w:val="0"/>
          <w:marTop w:val="0"/>
          <w:marBottom w:val="0"/>
          <w:divBdr>
            <w:top w:val="none" w:sz="0" w:space="0" w:color="auto"/>
            <w:left w:val="none" w:sz="0" w:space="0" w:color="auto"/>
            <w:bottom w:val="none" w:sz="0" w:space="0" w:color="auto"/>
            <w:right w:val="none" w:sz="0" w:space="0" w:color="auto"/>
          </w:divBdr>
        </w:div>
        <w:div w:id="780875342">
          <w:marLeft w:val="446"/>
          <w:marRight w:val="0"/>
          <w:marTop w:val="0"/>
          <w:marBottom w:val="0"/>
          <w:divBdr>
            <w:top w:val="none" w:sz="0" w:space="0" w:color="auto"/>
            <w:left w:val="none" w:sz="0" w:space="0" w:color="auto"/>
            <w:bottom w:val="none" w:sz="0" w:space="0" w:color="auto"/>
            <w:right w:val="none" w:sz="0" w:space="0" w:color="auto"/>
          </w:divBdr>
        </w:div>
        <w:div w:id="804738734">
          <w:marLeft w:val="446"/>
          <w:marRight w:val="0"/>
          <w:marTop w:val="0"/>
          <w:marBottom w:val="0"/>
          <w:divBdr>
            <w:top w:val="none" w:sz="0" w:space="0" w:color="auto"/>
            <w:left w:val="none" w:sz="0" w:space="0" w:color="auto"/>
            <w:bottom w:val="none" w:sz="0" w:space="0" w:color="auto"/>
            <w:right w:val="none" w:sz="0" w:space="0" w:color="auto"/>
          </w:divBdr>
        </w:div>
        <w:div w:id="1029642077">
          <w:marLeft w:val="446"/>
          <w:marRight w:val="0"/>
          <w:marTop w:val="0"/>
          <w:marBottom w:val="0"/>
          <w:divBdr>
            <w:top w:val="none" w:sz="0" w:space="0" w:color="auto"/>
            <w:left w:val="none" w:sz="0" w:space="0" w:color="auto"/>
            <w:bottom w:val="none" w:sz="0" w:space="0" w:color="auto"/>
            <w:right w:val="none" w:sz="0" w:space="0" w:color="auto"/>
          </w:divBdr>
        </w:div>
        <w:div w:id="1157919662">
          <w:marLeft w:val="446"/>
          <w:marRight w:val="0"/>
          <w:marTop w:val="0"/>
          <w:marBottom w:val="0"/>
          <w:divBdr>
            <w:top w:val="none" w:sz="0" w:space="0" w:color="auto"/>
            <w:left w:val="none" w:sz="0" w:space="0" w:color="auto"/>
            <w:bottom w:val="none" w:sz="0" w:space="0" w:color="auto"/>
            <w:right w:val="none" w:sz="0" w:space="0" w:color="auto"/>
          </w:divBdr>
        </w:div>
        <w:div w:id="1171259957">
          <w:marLeft w:val="446"/>
          <w:marRight w:val="0"/>
          <w:marTop w:val="0"/>
          <w:marBottom w:val="0"/>
          <w:divBdr>
            <w:top w:val="none" w:sz="0" w:space="0" w:color="auto"/>
            <w:left w:val="none" w:sz="0" w:space="0" w:color="auto"/>
            <w:bottom w:val="none" w:sz="0" w:space="0" w:color="auto"/>
            <w:right w:val="none" w:sz="0" w:space="0" w:color="auto"/>
          </w:divBdr>
        </w:div>
        <w:div w:id="1203130028">
          <w:marLeft w:val="446"/>
          <w:marRight w:val="0"/>
          <w:marTop w:val="0"/>
          <w:marBottom w:val="0"/>
          <w:divBdr>
            <w:top w:val="none" w:sz="0" w:space="0" w:color="auto"/>
            <w:left w:val="none" w:sz="0" w:space="0" w:color="auto"/>
            <w:bottom w:val="none" w:sz="0" w:space="0" w:color="auto"/>
            <w:right w:val="none" w:sz="0" w:space="0" w:color="auto"/>
          </w:divBdr>
        </w:div>
        <w:div w:id="1291398590">
          <w:marLeft w:val="446"/>
          <w:marRight w:val="0"/>
          <w:marTop w:val="0"/>
          <w:marBottom w:val="0"/>
          <w:divBdr>
            <w:top w:val="none" w:sz="0" w:space="0" w:color="auto"/>
            <w:left w:val="none" w:sz="0" w:space="0" w:color="auto"/>
            <w:bottom w:val="none" w:sz="0" w:space="0" w:color="auto"/>
            <w:right w:val="none" w:sz="0" w:space="0" w:color="auto"/>
          </w:divBdr>
        </w:div>
        <w:div w:id="1847667911">
          <w:marLeft w:val="446"/>
          <w:marRight w:val="0"/>
          <w:marTop w:val="0"/>
          <w:marBottom w:val="0"/>
          <w:divBdr>
            <w:top w:val="none" w:sz="0" w:space="0" w:color="auto"/>
            <w:left w:val="none" w:sz="0" w:space="0" w:color="auto"/>
            <w:bottom w:val="none" w:sz="0" w:space="0" w:color="auto"/>
            <w:right w:val="none" w:sz="0" w:space="0" w:color="auto"/>
          </w:divBdr>
        </w:div>
        <w:div w:id="1919903332">
          <w:marLeft w:val="446"/>
          <w:marRight w:val="0"/>
          <w:marTop w:val="0"/>
          <w:marBottom w:val="0"/>
          <w:divBdr>
            <w:top w:val="none" w:sz="0" w:space="0" w:color="auto"/>
            <w:left w:val="none" w:sz="0" w:space="0" w:color="auto"/>
            <w:bottom w:val="none" w:sz="0" w:space="0" w:color="auto"/>
            <w:right w:val="none" w:sz="0" w:space="0" w:color="auto"/>
          </w:divBdr>
        </w:div>
        <w:div w:id="2009628594">
          <w:marLeft w:val="446"/>
          <w:marRight w:val="0"/>
          <w:marTop w:val="0"/>
          <w:marBottom w:val="0"/>
          <w:divBdr>
            <w:top w:val="none" w:sz="0" w:space="0" w:color="auto"/>
            <w:left w:val="none" w:sz="0" w:space="0" w:color="auto"/>
            <w:bottom w:val="none" w:sz="0" w:space="0" w:color="auto"/>
            <w:right w:val="none" w:sz="0" w:space="0" w:color="auto"/>
          </w:divBdr>
        </w:div>
        <w:div w:id="2048480021">
          <w:marLeft w:val="446"/>
          <w:marRight w:val="0"/>
          <w:marTop w:val="0"/>
          <w:marBottom w:val="0"/>
          <w:divBdr>
            <w:top w:val="none" w:sz="0" w:space="0" w:color="auto"/>
            <w:left w:val="none" w:sz="0" w:space="0" w:color="auto"/>
            <w:bottom w:val="none" w:sz="0" w:space="0" w:color="auto"/>
            <w:right w:val="none" w:sz="0" w:space="0" w:color="auto"/>
          </w:divBdr>
        </w:div>
      </w:divsChild>
    </w:div>
    <w:div w:id="1567568901">
      <w:bodyDiv w:val="1"/>
      <w:marLeft w:val="0"/>
      <w:marRight w:val="0"/>
      <w:marTop w:val="0"/>
      <w:marBottom w:val="0"/>
      <w:divBdr>
        <w:top w:val="none" w:sz="0" w:space="0" w:color="auto"/>
        <w:left w:val="none" w:sz="0" w:space="0" w:color="auto"/>
        <w:bottom w:val="none" w:sz="0" w:space="0" w:color="auto"/>
        <w:right w:val="none" w:sz="0" w:space="0" w:color="auto"/>
      </w:divBdr>
    </w:div>
    <w:div w:id="1633443425">
      <w:bodyDiv w:val="1"/>
      <w:marLeft w:val="0"/>
      <w:marRight w:val="0"/>
      <w:marTop w:val="0"/>
      <w:marBottom w:val="0"/>
      <w:divBdr>
        <w:top w:val="none" w:sz="0" w:space="0" w:color="auto"/>
        <w:left w:val="none" w:sz="0" w:space="0" w:color="auto"/>
        <w:bottom w:val="none" w:sz="0" w:space="0" w:color="auto"/>
        <w:right w:val="none" w:sz="0" w:space="0" w:color="auto"/>
      </w:divBdr>
      <w:divsChild>
        <w:div w:id="1862741123">
          <w:marLeft w:val="547"/>
          <w:marRight w:val="0"/>
          <w:marTop w:val="0"/>
          <w:marBottom w:val="0"/>
          <w:divBdr>
            <w:top w:val="none" w:sz="0" w:space="0" w:color="auto"/>
            <w:left w:val="none" w:sz="0" w:space="0" w:color="auto"/>
            <w:bottom w:val="none" w:sz="0" w:space="0" w:color="auto"/>
            <w:right w:val="none" w:sz="0" w:space="0" w:color="auto"/>
          </w:divBdr>
        </w:div>
        <w:div w:id="2036609344">
          <w:marLeft w:val="547"/>
          <w:marRight w:val="0"/>
          <w:marTop w:val="0"/>
          <w:marBottom w:val="0"/>
          <w:divBdr>
            <w:top w:val="none" w:sz="0" w:space="0" w:color="auto"/>
            <w:left w:val="none" w:sz="0" w:space="0" w:color="auto"/>
            <w:bottom w:val="none" w:sz="0" w:space="0" w:color="auto"/>
            <w:right w:val="none" w:sz="0" w:space="0" w:color="auto"/>
          </w:divBdr>
        </w:div>
        <w:div w:id="727848090">
          <w:marLeft w:val="547"/>
          <w:marRight w:val="0"/>
          <w:marTop w:val="0"/>
          <w:marBottom w:val="0"/>
          <w:divBdr>
            <w:top w:val="none" w:sz="0" w:space="0" w:color="auto"/>
            <w:left w:val="none" w:sz="0" w:space="0" w:color="auto"/>
            <w:bottom w:val="none" w:sz="0" w:space="0" w:color="auto"/>
            <w:right w:val="none" w:sz="0" w:space="0" w:color="auto"/>
          </w:divBdr>
        </w:div>
      </w:divsChild>
    </w:div>
    <w:div w:id="1645701310">
      <w:bodyDiv w:val="1"/>
      <w:marLeft w:val="0"/>
      <w:marRight w:val="0"/>
      <w:marTop w:val="0"/>
      <w:marBottom w:val="0"/>
      <w:divBdr>
        <w:top w:val="none" w:sz="0" w:space="0" w:color="auto"/>
        <w:left w:val="none" w:sz="0" w:space="0" w:color="auto"/>
        <w:bottom w:val="none" w:sz="0" w:space="0" w:color="auto"/>
        <w:right w:val="none" w:sz="0" w:space="0" w:color="auto"/>
      </w:divBdr>
      <w:divsChild>
        <w:div w:id="2025857841">
          <w:marLeft w:val="547"/>
          <w:marRight w:val="0"/>
          <w:marTop w:val="0"/>
          <w:marBottom w:val="0"/>
          <w:divBdr>
            <w:top w:val="none" w:sz="0" w:space="0" w:color="auto"/>
            <w:left w:val="none" w:sz="0" w:space="0" w:color="auto"/>
            <w:bottom w:val="none" w:sz="0" w:space="0" w:color="auto"/>
            <w:right w:val="none" w:sz="0" w:space="0" w:color="auto"/>
          </w:divBdr>
        </w:div>
        <w:div w:id="30157046">
          <w:marLeft w:val="547"/>
          <w:marRight w:val="0"/>
          <w:marTop w:val="0"/>
          <w:marBottom w:val="0"/>
          <w:divBdr>
            <w:top w:val="none" w:sz="0" w:space="0" w:color="auto"/>
            <w:left w:val="none" w:sz="0" w:space="0" w:color="auto"/>
            <w:bottom w:val="none" w:sz="0" w:space="0" w:color="auto"/>
            <w:right w:val="none" w:sz="0" w:space="0" w:color="auto"/>
          </w:divBdr>
        </w:div>
        <w:div w:id="55521119">
          <w:marLeft w:val="547"/>
          <w:marRight w:val="0"/>
          <w:marTop w:val="0"/>
          <w:marBottom w:val="0"/>
          <w:divBdr>
            <w:top w:val="none" w:sz="0" w:space="0" w:color="auto"/>
            <w:left w:val="none" w:sz="0" w:space="0" w:color="auto"/>
            <w:bottom w:val="none" w:sz="0" w:space="0" w:color="auto"/>
            <w:right w:val="none" w:sz="0" w:space="0" w:color="auto"/>
          </w:divBdr>
        </w:div>
      </w:divsChild>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833715310">
      <w:bodyDiv w:val="1"/>
      <w:marLeft w:val="0"/>
      <w:marRight w:val="0"/>
      <w:marTop w:val="0"/>
      <w:marBottom w:val="0"/>
      <w:divBdr>
        <w:top w:val="none" w:sz="0" w:space="0" w:color="auto"/>
        <w:left w:val="none" w:sz="0" w:space="0" w:color="auto"/>
        <w:bottom w:val="none" w:sz="0" w:space="0" w:color="auto"/>
        <w:right w:val="none" w:sz="0" w:space="0" w:color="auto"/>
      </w:divBdr>
      <w:divsChild>
        <w:div w:id="1307781027">
          <w:marLeft w:val="547"/>
          <w:marRight w:val="0"/>
          <w:marTop w:val="0"/>
          <w:marBottom w:val="0"/>
          <w:divBdr>
            <w:top w:val="none" w:sz="0" w:space="0" w:color="auto"/>
            <w:left w:val="none" w:sz="0" w:space="0" w:color="auto"/>
            <w:bottom w:val="none" w:sz="0" w:space="0" w:color="auto"/>
            <w:right w:val="none" w:sz="0" w:space="0" w:color="auto"/>
          </w:divBdr>
        </w:div>
        <w:div w:id="2089770834">
          <w:marLeft w:val="547"/>
          <w:marRight w:val="0"/>
          <w:marTop w:val="0"/>
          <w:marBottom w:val="0"/>
          <w:divBdr>
            <w:top w:val="none" w:sz="0" w:space="0" w:color="auto"/>
            <w:left w:val="none" w:sz="0" w:space="0" w:color="auto"/>
            <w:bottom w:val="none" w:sz="0" w:space="0" w:color="auto"/>
            <w:right w:val="none" w:sz="0" w:space="0" w:color="auto"/>
          </w:divBdr>
        </w:div>
        <w:div w:id="1521627267">
          <w:marLeft w:val="547"/>
          <w:marRight w:val="0"/>
          <w:marTop w:val="0"/>
          <w:marBottom w:val="0"/>
          <w:divBdr>
            <w:top w:val="none" w:sz="0" w:space="0" w:color="auto"/>
            <w:left w:val="none" w:sz="0" w:space="0" w:color="auto"/>
            <w:bottom w:val="none" w:sz="0" w:space="0" w:color="auto"/>
            <w:right w:val="none" w:sz="0" w:space="0" w:color="auto"/>
          </w:divBdr>
        </w:div>
        <w:div w:id="839151206">
          <w:marLeft w:val="547"/>
          <w:marRight w:val="0"/>
          <w:marTop w:val="0"/>
          <w:marBottom w:val="0"/>
          <w:divBdr>
            <w:top w:val="none" w:sz="0" w:space="0" w:color="auto"/>
            <w:left w:val="none" w:sz="0" w:space="0" w:color="auto"/>
            <w:bottom w:val="none" w:sz="0" w:space="0" w:color="auto"/>
            <w:right w:val="none" w:sz="0" w:space="0" w:color="auto"/>
          </w:divBdr>
        </w:div>
        <w:div w:id="1530294893">
          <w:marLeft w:val="547"/>
          <w:marRight w:val="0"/>
          <w:marTop w:val="0"/>
          <w:marBottom w:val="0"/>
          <w:divBdr>
            <w:top w:val="none" w:sz="0" w:space="0" w:color="auto"/>
            <w:left w:val="none" w:sz="0" w:space="0" w:color="auto"/>
            <w:bottom w:val="none" w:sz="0" w:space="0" w:color="auto"/>
            <w:right w:val="none" w:sz="0" w:space="0" w:color="auto"/>
          </w:divBdr>
        </w:div>
        <w:div w:id="84691793">
          <w:marLeft w:val="547"/>
          <w:marRight w:val="0"/>
          <w:marTop w:val="0"/>
          <w:marBottom w:val="0"/>
          <w:divBdr>
            <w:top w:val="none" w:sz="0" w:space="0" w:color="auto"/>
            <w:left w:val="none" w:sz="0" w:space="0" w:color="auto"/>
            <w:bottom w:val="none" w:sz="0" w:space="0" w:color="auto"/>
            <w:right w:val="none" w:sz="0" w:space="0" w:color="auto"/>
          </w:divBdr>
        </w:div>
        <w:div w:id="1190223279">
          <w:marLeft w:val="547"/>
          <w:marRight w:val="0"/>
          <w:marTop w:val="0"/>
          <w:marBottom w:val="0"/>
          <w:divBdr>
            <w:top w:val="none" w:sz="0" w:space="0" w:color="auto"/>
            <w:left w:val="none" w:sz="0" w:space="0" w:color="auto"/>
            <w:bottom w:val="none" w:sz="0" w:space="0" w:color="auto"/>
            <w:right w:val="none" w:sz="0" w:space="0" w:color="auto"/>
          </w:divBdr>
        </w:div>
        <w:div w:id="1824156092">
          <w:marLeft w:val="547"/>
          <w:marRight w:val="0"/>
          <w:marTop w:val="0"/>
          <w:marBottom w:val="0"/>
          <w:divBdr>
            <w:top w:val="none" w:sz="0" w:space="0" w:color="auto"/>
            <w:left w:val="none" w:sz="0" w:space="0" w:color="auto"/>
            <w:bottom w:val="none" w:sz="0" w:space="0" w:color="auto"/>
            <w:right w:val="none" w:sz="0" w:space="0" w:color="auto"/>
          </w:divBdr>
        </w:div>
        <w:div w:id="1581864066">
          <w:marLeft w:val="547"/>
          <w:marRight w:val="0"/>
          <w:marTop w:val="0"/>
          <w:marBottom w:val="0"/>
          <w:divBdr>
            <w:top w:val="none" w:sz="0" w:space="0" w:color="auto"/>
            <w:left w:val="none" w:sz="0" w:space="0" w:color="auto"/>
            <w:bottom w:val="none" w:sz="0" w:space="0" w:color="auto"/>
            <w:right w:val="none" w:sz="0" w:space="0" w:color="auto"/>
          </w:divBdr>
        </w:div>
      </w:divsChild>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893466900">
      <w:bodyDiv w:val="1"/>
      <w:marLeft w:val="0"/>
      <w:marRight w:val="0"/>
      <w:marTop w:val="0"/>
      <w:marBottom w:val="0"/>
      <w:divBdr>
        <w:top w:val="none" w:sz="0" w:space="0" w:color="auto"/>
        <w:left w:val="none" w:sz="0" w:space="0" w:color="auto"/>
        <w:bottom w:val="none" w:sz="0" w:space="0" w:color="auto"/>
        <w:right w:val="none" w:sz="0" w:space="0" w:color="auto"/>
      </w:divBdr>
      <w:divsChild>
        <w:div w:id="808209676">
          <w:marLeft w:val="547"/>
          <w:marRight w:val="0"/>
          <w:marTop w:val="0"/>
          <w:marBottom w:val="0"/>
          <w:divBdr>
            <w:top w:val="none" w:sz="0" w:space="0" w:color="auto"/>
            <w:left w:val="none" w:sz="0" w:space="0" w:color="auto"/>
            <w:bottom w:val="none" w:sz="0" w:space="0" w:color="auto"/>
            <w:right w:val="none" w:sz="0" w:space="0" w:color="auto"/>
          </w:divBdr>
        </w:div>
        <w:div w:id="904490562">
          <w:marLeft w:val="547"/>
          <w:marRight w:val="0"/>
          <w:marTop w:val="0"/>
          <w:marBottom w:val="0"/>
          <w:divBdr>
            <w:top w:val="none" w:sz="0" w:space="0" w:color="auto"/>
            <w:left w:val="none" w:sz="0" w:space="0" w:color="auto"/>
            <w:bottom w:val="none" w:sz="0" w:space="0" w:color="auto"/>
            <w:right w:val="none" w:sz="0" w:space="0" w:color="auto"/>
          </w:divBdr>
        </w:div>
        <w:div w:id="870994215">
          <w:marLeft w:val="547"/>
          <w:marRight w:val="0"/>
          <w:marTop w:val="0"/>
          <w:marBottom w:val="0"/>
          <w:divBdr>
            <w:top w:val="none" w:sz="0" w:space="0" w:color="auto"/>
            <w:left w:val="none" w:sz="0" w:space="0" w:color="auto"/>
            <w:bottom w:val="none" w:sz="0" w:space="0" w:color="auto"/>
            <w:right w:val="none" w:sz="0" w:space="0" w:color="auto"/>
          </w:divBdr>
        </w:div>
      </w:divsChild>
    </w:div>
    <w:div w:id="1893884614">
      <w:bodyDiv w:val="1"/>
      <w:marLeft w:val="0"/>
      <w:marRight w:val="0"/>
      <w:marTop w:val="0"/>
      <w:marBottom w:val="0"/>
      <w:divBdr>
        <w:top w:val="none" w:sz="0" w:space="0" w:color="auto"/>
        <w:left w:val="none" w:sz="0" w:space="0" w:color="auto"/>
        <w:bottom w:val="none" w:sz="0" w:space="0" w:color="auto"/>
        <w:right w:val="none" w:sz="0" w:space="0" w:color="auto"/>
      </w:divBdr>
    </w:div>
    <w:div w:id="1899052405">
      <w:bodyDiv w:val="1"/>
      <w:marLeft w:val="0"/>
      <w:marRight w:val="0"/>
      <w:marTop w:val="0"/>
      <w:marBottom w:val="0"/>
      <w:divBdr>
        <w:top w:val="none" w:sz="0" w:space="0" w:color="auto"/>
        <w:left w:val="none" w:sz="0" w:space="0" w:color="auto"/>
        <w:bottom w:val="none" w:sz="0" w:space="0" w:color="auto"/>
        <w:right w:val="none" w:sz="0" w:space="0" w:color="auto"/>
      </w:divBdr>
    </w:div>
    <w:div w:id="1899591380">
      <w:bodyDiv w:val="1"/>
      <w:marLeft w:val="0"/>
      <w:marRight w:val="0"/>
      <w:marTop w:val="0"/>
      <w:marBottom w:val="0"/>
      <w:divBdr>
        <w:top w:val="none" w:sz="0" w:space="0" w:color="auto"/>
        <w:left w:val="none" w:sz="0" w:space="0" w:color="auto"/>
        <w:bottom w:val="none" w:sz="0" w:space="0" w:color="auto"/>
        <w:right w:val="none" w:sz="0" w:space="0" w:color="auto"/>
      </w:divBdr>
    </w:div>
    <w:div w:id="1942907661">
      <w:bodyDiv w:val="1"/>
      <w:marLeft w:val="0"/>
      <w:marRight w:val="0"/>
      <w:marTop w:val="0"/>
      <w:marBottom w:val="0"/>
      <w:divBdr>
        <w:top w:val="none" w:sz="0" w:space="0" w:color="auto"/>
        <w:left w:val="none" w:sz="0" w:space="0" w:color="auto"/>
        <w:bottom w:val="none" w:sz="0" w:space="0" w:color="auto"/>
        <w:right w:val="none" w:sz="0" w:space="0" w:color="auto"/>
      </w:divBdr>
      <w:divsChild>
        <w:div w:id="1718043317">
          <w:marLeft w:val="547"/>
          <w:marRight w:val="0"/>
          <w:marTop w:val="0"/>
          <w:marBottom w:val="0"/>
          <w:divBdr>
            <w:top w:val="none" w:sz="0" w:space="0" w:color="auto"/>
            <w:left w:val="none" w:sz="0" w:space="0" w:color="auto"/>
            <w:bottom w:val="none" w:sz="0" w:space="0" w:color="auto"/>
            <w:right w:val="none" w:sz="0" w:space="0" w:color="auto"/>
          </w:divBdr>
        </w:div>
        <w:div w:id="1299072318">
          <w:marLeft w:val="547"/>
          <w:marRight w:val="0"/>
          <w:marTop w:val="0"/>
          <w:marBottom w:val="0"/>
          <w:divBdr>
            <w:top w:val="none" w:sz="0" w:space="0" w:color="auto"/>
            <w:left w:val="none" w:sz="0" w:space="0" w:color="auto"/>
            <w:bottom w:val="none" w:sz="0" w:space="0" w:color="auto"/>
            <w:right w:val="none" w:sz="0" w:space="0" w:color="auto"/>
          </w:divBdr>
        </w:div>
      </w:divsChild>
    </w:div>
    <w:div w:id="1986740951">
      <w:bodyDiv w:val="1"/>
      <w:marLeft w:val="0"/>
      <w:marRight w:val="0"/>
      <w:marTop w:val="0"/>
      <w:marBottom w:val="0"/>
      <w:divBdr>
        <w:top w:val="none" w:sz="0" w:space="0" w:color="auto"/>
        <w:left w:val="none" w:sz="0" w:space="0" w:color="auto"/>
        <w:bottom w:val="none" w:sz="0" w:space="0" w:color="auto"/>
        <w:right w:val="none" w:sz="0" w:space="0" w:color="auto"/>
      </w:divBdr>
      <w:divsChild>
        <w:div w:id="1545099927">
          <w:marLeft w:val="547"/>
          <w:marRight w:val="0"/>
          <w:marTop w:val="0"/>
          <w:marBottom w:val="0"/>
          <w:divBdr>
            <w:top w:val="none" w:sz="0" w:space="0" w:color="auto"/>
            <w:left w:val="none" w:sz="0" w:space="0" w:color="auto"/>
            <w:bottom w:val="none" w:sz="0" w:space="0" w:color="auto"/>
            <w:right w:val="none" w:sz="0" w:space="0" w:color="auto"/>
          </w:divBdr>
        </w:div>
      </w:divsChild>
    </w:div>
    <w:div w:id="2000770381">
      <w:bodyDiv w:val="1"/>
      <w:marLeft w:val="0"/>
      <w:marRight w:val="0"/>
      <w:marTop w:val="0"/>
      <w:marBottom w:val="0"/>
      <w:divBdr>
        <w:top w:val="none" w:sz="0" w:space="0" w:color="auto"/>
        <w:left w:val="none" w:sz="0" w:space="0" w:color="auto"/>
        <w:bottom w:val="none" w:sz="0" w:space="0" w:color="auto"/>
        <w:right w:val="none" w:sz="0" w:space="0" w:color="auto"/>
      </w:divBdr>
      <w:divsChild>
        <w:div w:id="60718865">
          <w:marLeft w:val="547"/>
          <w:marRight w:val="0"/>
          <w:marTop w:val="0"/>
          <w:marBottom w:val="0"/>
          <w:divBdr>
            <w:top w:val="none" w:sz="0" w:space="0" w:color="auto"/>
            <w:left w:val="none" w:sz="0" w:space="0" w:color="auto"/>
            <w:bottom w:val="none" w:sz="0" w:space="0" w:color="auto"/>
            <w:right w:val="none" w:sz="0" w:space="0" w:color="auto"/>
          </w:divBdr>
        </w:div>
        <w:div w:id="708186657">
          <w:marLeft w:val="547"/>
          <w:marRight w:val="0"/>
          <w:marTop w:val="0"/>
          <w:marBottom w:val="0"/>
          <w:divBdr>
            <w:top w:val="none" w:sz="0" w:space="0" w:color="auto"/>
            <w:left w:val="none" w:sz="0" w:space="0" w:color="auto"/>
            <w:bottom w:val="none" w:sz="0" w:space="0" w:color="auto"/>
            <w:right w:val="none" w:sz="0" w:space="0" w:color="auto"/>
          </w:divBdr>
        </w:div>
      </w:divsChild>
    </w:div>
    <w:div w:id="2009287936">
      <w:bodyDiv w:val="1"/>
      <w:marLeft w:val="0"/>
      <w:marRight w:val="0"/>
      <w:marTop w:val="0"/>
      <w:marBottom w:val="0"/>
      <w:divBdr>
        <w:top w:val="none" w:sz="0" w:space="0" w:color="auto"/>
        <w:left w:val="none" w:sz="0" w:space="0" w:color="auto"/>
        <w:bottom w:val="none" w:sz="0" w:space="0" w:color="auto"/>
        <w:right w:val="none" w:sz="0" w:space="0" w:color="auto"/>
      </w:divBdr>
      <w:divsChild>
        <w:div w:id="836841150">
          <w:marLeft w:val="547"/>
          <w:marRight w:val="0"/>
          <w:marTop w:val="0"/>
          <w:marBottom w:val="0"/>
          <w:divBdr>
            <w:top w:val="none" w:sz="0" w:space="0" w:color="auto"/>
            <w:left w:val="none" w:sz="0" w:space="0" w:color="auto"/>
            <w:bottom w:val="none" w:sz="0" w:space="0" w:color="auto"/>
            <w:right w:val="none" w:sz="0" w:space="0" w:color="auto"/>
          </w:divBdr>
        </w:div>
        <w:div w:id="1815834609">
          <w:marLeft w:val="547"/>
          <w:marRight w:val="0"/>
          <w:marTop w:val="0"/>
          <w:marBottom w:val="0"/>
          <w:divBdr>
            <w:top w:val="none" w:sz="0" w:space="0" w:color="auto"/>
            <w:left w:val="none" w:sz="0" w:space="0" w:color="auto"/>
            <w:bottom w:val="none" w:sz="0" w:space="0" w:color="auto"/>
            <w:right w:val="none" w:sz="0" w:space="0" w:color="auto"/>
          </w:divBdr>
        </w:div>
        <w:div w:id="1108892227">
          <w:marLeft w:val="547"/>
          <w:marRight w:val="0"/>
          <w:marTop w:val="0"/>
          <w:marBottom w:val="0"/>
          <w:divBdr>
            <w:top w:val="none" w:sz="0" w:space="0" w:color="auto"/>
            <w:left w:val="none" w:sz="0" w:space="0" w:color="auto"/>
            <w:bottom w:val="none" w:sz="0" w:space="0" w:color="auto"/>
            <w:right w:val="none" w:sz="0" w:space="0" w:color="auto"/>
          </w:divBdr>
        </w:div>
        <w:div w:id="1594783745">
          <w:marLeft w:val="547"/>
          <w:marRight w:val="0"/>
          <w:marTop w:val="0"/>
          <w:marBottom w:val="0"/>
          <w:divBdr>
            <w:top w:val="none" w:sz="0" w:space="0" w:color="auto"/>
            <w:left w:val="none" w:sz="0" w:space="0" w:color="auto"/>
            <w:bottom w:val="none" w:sz="0" w:space="0" w:color="auto"/>
            <w:right w:val="none" w:sz="0" w:space="0" w:color="auto"/>
          </w:divBdr>
        </w:div>
      </w:divsChild>
    </w:div>
    <w:div w:id="2036956713">
      <w:bodyDiv w:val="1"/>
      <w:marLeft w:val="0"/>
      <w:marRight w:val="0"/>
      <w:marTop w:val="0"/>
      <w:marBottom w:val="0"/>
      <w:divBdr>
        <w:top w:val="none" w:sz="0" w:space="0" w:color="auto"/>
        <w:left w:val="none" w:sz="0" w:space="0" w:color="auto"/>
        <w:bottom w:val="none" w:sz="0" w:space="0" w:color="auto"/>
        <w:right w:val="none" w:sz="0" w:space="0" w:color="auto"/>
      </w:divBdr>
      <w:divsChild>
        <w:div w:id="19381684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ndis.gov.au/providers/market-monitoring-and-intervention/coordinated-funding-proposals" TargetMode="Externa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glossaryDocument" Target="glossary/document.xml"/><Relationship Id="rId63" Type="http://schemas.microsoft.com/office/2016/09/relationships/commentsIds" Target="commentsId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www.closingthegap.gov.au/sites/default/files/2022-08/disability-sector-strengthening-plan.pdf"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0.png"/><Relationship Id="rId41" Type="http://schemas.openxmlformats.org/officeDocument/2006/relationships/fontTable" Target="fontTable.xm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treasury.qld.gov.au/queenslands-economy/office-of-productivity-and-red-tape-reduction/former-queensland-productivity-commission/" TargetMode="External"/><Relationship Id="rId13" Type="http://schemas.openxmlformats.org/officeDocument/2006/relationships/hyperlink" Target="https://researchonline.jcu.edu.au/72985/" TargetMode="External"/><Relationship Id="rId18" Type="http://schemas.openxmlformats.org/officeDocument/2006/relationships/hyperlink" Target="https://www.aihw.gov.au/reports/australias-health/indigenous-health-and-wellbeing" TargetMode="External"/><Relationship Id="rId3" Type="http://schemas.openxmlformats.org/officeDocument/2006/relationships/hyperlink" Target="https://www.aph.gov.au/Parliamentary_Business/Committees/Joint/National_Disability_Insurance_Scheme/MarketReadiness/Report" TargetMode="External"/><Relationship Id="rId21" Type="http://schemas.openxmlformats.org/officeDocument/2006/relationships/hyperlink" Target="https://dbr.abs.gov.au/region.html?lyr=lga&amp;rgn=32500" TargetMode="External"/><Relationship Id="rId7" Type="http://schemas.openxmlformats.org/officeDocument/2006/relationships/hyperlink" Target="https://www.aph.gov.au/Parliamentary_Business/Committees/Joint/National_Disability_Insurance_Scheme/GeneralIssues/Report_2021" TargetMode="External"/><Relationship Id="rId12" Type="http://schemas.openxmlformats.org/officeDocument/2006/relationships/hyperlink" Target="https://disability.unimelb.edu.au/home/projects/collaborative-research/ndis-plan-utilisation" TargetMode="External"/><Relationship Id="rId17" Type="http://schemas.openxmlformats.org/officeDocument/2006/relationships/hyperlink" Target="https://www.naccho.org.au/app/uploads/2022/04/NACCHO-NDIS-Pricing-Review-2021-22-.pdf" TargetMode="External"/><Relationship Id="rId2" Type="http://schemas.openxmlformats.org/officeDocument/2006/relationships/hyperlink" Target="https://www.pc.gov.au/inquiries/completed/ndis-costs" TargetMode="External"/><Relationship Id="rId16" Type="http://schemas.openxmlformats.org/officeDocument/2006/relationships/hyperlink" Target="https://www.pc.gov.au/inquiries/completed/human-services/reforms/report" TargetMode="External"/><Relationship Id="rId20" Type="http://schemas.openxmlformats.org/officeDocument/2006/relationships/hyperlink" Target="https://dbr.abs.gov.au/region.html?lyr=sa3&amp;rgn=31501" TargetMode="External"/><Relationship Id="rId1" Type="http://schemas.openxmlformats.org/officeDocument/2006/relationships/hyperlink" Target="https://www.ndis.gov.au/about-us/publications/quarterly-reports" TargetMode="External"/><Relationship Id="rId6" Type="http://schemas.openxmlformats.org/officeDocument/2006/relationships/hyperlink" Target="https://www.dss.gov.au/disability-and-carers-programs-services-for-people-with-disability-national-disability-insurance-scheme/review-of-the-ndis-act-report" TargetMode="External"/><Relationship Id="rId11" Type="http://schemas.openxmlformats.org/officeDocument/2006/relationships/hyperlink" Target="https://www.closingthegap.gov.au/resources" TargetMode="External"/><Relationship Id="rId5" Type="http://schemas.openxmlformats.org/officeDocument/2006/relationships/hyperlink" Target="https://www.aph.gov.au/Parliamentary_Business/Committees/Joint/National_Disability_Insurance_Scheme/workforce" TargetMode="External"/><Relationship Id="rId15" Type="http://schemas.openxmlformats.org/officeDocument/2006/relationships/hyperlink" Target="https://www.pc.gov.au/inquiries/completed/indigenous-evaluation" TargetMode="External"/><Relationship Id="rId10" Type="http://schemas.openxmlformats.org/officeDocument/2006/relationships/hyperlink" Target="https://www.csi.edu.au/research/market-capacity-framework-an-approach-for-identifying-thin-markets-in-the-ndis/" TargetMode="External"/><Relationship Id="rId19" Type="http://schemas.openxmlformats.org/officeDocument/2006/relationships/hyperlink" Target="https://www.aihw.gov.au/reports/rural-remote-australians/rural-and-remote-health" TargetMode="External"/><Relationship Id="rId4" Type="http://schemas.openxmlformats.org/officeDocument/2006/relationships/hyperlink" Target="https://www.aph.gov.au/Parliamentary_Business/Committees/Joint/National_Disability_Insurance_Scheme/NDISPlanning/Final_Report" TargetMode="External"/><Relationship Id="rId9" Type="http://schemas.openxmlformats.org/officeDocument/2006/relationships/hyperlink" Target="https://webarchive.nla.gov.au/awa/20220604013729/https://www.dss.gov.au/disability-and-carers-programs-services-government-international-disability-reform-council/communique-13-december-2019" TargetMode="External"/><Relationship Id="rId14" Type="http://schemas.openxmlformats.org/officeDocument/2006/relationships/hyperlink" Target="https://www.dsdsatsip.qld.gov.au/our-work/aboriginal-torres-strait-islander-partnerships/discrete-remote-communities/queensland-productivity-commission-service-delivery-inquiry" TargetMode="External"/><Relationship Id="rId22" Type="http://schemas.openxmlformats.org/officeDocument/2006/relationships/hyperlink" Target="https://dbr.abs.gov.au/region.html?lyr=lga&amp;rgn=3025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5B29DB5BC88418B9E41863B212F3896"/>
        <w:category>
          <w:name w:val="General"/>
          <w:gallery w:val="placeholder"/>
        </w:category>
        <w:types>
          <w:type w:val="bbPlcHdr"/>
        </w:types>
        <w:behaviors>
          <w:behavior w:val="content"/>
        </w:behaviors>
        <w:guid w:val="{E0EE167C-B05C-4D40-9C08-B97E03AA1ED7}"/>
      </w:docPartPr>
      <w:docPartBody>
        <w:p w:rsidR="00AB185C" w:rsidRDefault="009D1EAE">
          <w:pPr>
            <w:pStyle w:val="E5B29DB5BC88418B9E41863B212F3896"/>
          </w:pPr>
          <w:r w:rsidRPr="00F13E41">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do">
    <w:altName w:val="Times New Roman"/>
    <w:charset w:val="00"/>
    <w:family w:val="roman"/>
    <w:pitch w:val="variable"/>
    <w:sig w:usb0="E40008FF" w:usb1="5201E0FB" w:usb2="04608000" w:usb3="00000000" w:csb0="000000BB"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EAE"/>
    <w:rsid w:val="000268E3"/>
    <w:rsid w:val="000615D2"/>
    <w:rsid w:val="00084537"/>
    <w:rsid w:val="000E31C5"/>
    <w:rsid w:val="000F0098"/>
    <w:rsid w:val="000F7483"/>
    <w:rsid w:val="00124DB7"/>
    <w:rsid w:val="00144CB3"/>
    <w:rsid w:val="0017105A"/>
    <w:rsid w:val="00194DF3"/>
    <w:rsid w:val="00195EA4"/>
    <w:rsid w:val="001A40E6"/>
    <w:rsid w:val="001B0302"/>
    <w:rsid w:val="001B267E"/>
    <w:rsid w:val="001F47E7"/>
    <w:rsid w:val="00203909"/>
    <w:rsid w:val="00205F89"/>
    <w:rsid w:val="00217290"/>
    <w:rsid w:val="00252C92"/>
    <w:rsid w:val="0025591D"/>
    <w:rsid w:val="002611F7"/>
    <w:rsid w:val="0026437E"/>
    <w:rsid w:val="00271CF4"/>
    <w:rsid w:val="002B5A3C"/>
    <w:rsid w:val="002F49AF"/>
    <w:rsid w:val="00351553"/>
    <w:rsid w:val="00376753"/>
    <w:rsid w:val="00391B10"/>
    <w:rsid w:val="003B016F"/>
    <w:rsid w:val="004042D8"/>
    <w:rsid w:val="00447B93"/>
    <w:rsid w:val="00471E9E"/>
    <w:rsid w:val="004C1567"/>
    <w:rsid w:val="00515917"/>
    <w:rsid w:val="00516CE2"/>
    <w:rsid w:val="00520796"/>
    <w:rsid w:val="005651B9"/>
    <w:rsid w:val="00581DDD"/>
    <w:rsid w:val="005821F0"/>
    <w:rsid w:val="00583E19"/>
    <w:rsid w:val="00597113"/>
    <w:rsid w:val="005A5E20"/>
    <w:rsid w:val="005D6D19"/>
    <w:rsid w:val="005E1D6A"/>
    <w:rsid w:val="00600384"/>
    <w:rsid w:val="00615A41"/>
    <w:rsid w:val="006435A2"/>
    <w:rsid w:val="006449A1"/>
    <w:rsid w:val="00645697"/>
    <w:rsid w:val="00655120"/>
    <w:rsid w:val="00663232"/>
    <w:rsid w:val="006B3B15"/>
    <w:rsid w:val="006D3284"/>
    <w:rsid w:val="006E49E2"/>
    <w:rsid w:val="007049FC"/>
    <w:rsid w:val="0073191A"/>
    <w:rsid w:val="00797BF5"/>
    <w:rsid w:val="007D4156"/>
    <w:rsid w:val="007E0D85"/>
    <w:rsid w:val="007F0A95"/>
    <w:rsid w:val="007F6DFA"/>
    <w:rsid w:val="0081299D"/>
    <w:rsid w:val="00847F40"/>
    <w:rsid w:val="0086224B"/>
    <w:rsid w:val="0087425B"/>
    <w:rsid w:val="0087650B"/>
    <w:rsid w:val="008A2D6B"/>
    <w:rsid w:val="008B157F"/>
    <w:rsid w:val="008C4668"/>
    <w:rsid w:val="008E643A"/>
    <w:rsid w:val="00914B0E"/>
    <w:rsid w:val="0094026C"/>
    <w:rsid w:val="009452AA"/>
    <w:rsid w:val="00952967"/>
    <w:rsid w:val="009558A3"/>
    <w:rsid w:val="009C7B03"/>
    <w:rsid w:val="009D1EAE"/>
    <w:rsid w:val="009E36D4"/>
    <w:rsid w:val="00A03206"/>
    <w:rsid w:val="00A155EE"/>
    <w:rsid w:val="00A23923"/>
    <w:rsid w:val="00A2555F"/>
    <w:rsid w:val="00A4225A"/>
    <w:rsid w:val="00A951BF"/>
    <w:rsid w:val="00A957E5"/>
    <w:rsid w:val="00AB185C"/>
    <w:rsid w:val="00AF0691"/>
    <w:rsid w:val="00B30B92"/>
    <w:rsid w:val="00B70F41"/>
    <w:rsid w:val="00B81EA2"/>
    <w:rsid w:val="00B85CF2"/>
    <w:rsid w:val="00B96A07"/>
    <w:rsid w:val="00BA335A"/>
    <w:rsid w:val="00BC050B"/>
    <w:rsid w:val="00BE1C0C"/>
    <w:rsid w:val="00C2172A"/>
    <w:rsid w:val="00C329F6"/>
    <w:rsid w:val="00C65318"/>
    <w:rsid w:val="00C92461"/>
    <w:rsid w:val="00C939D0"/>
    <w:rsid w:val="00CC12C8"/>
    <w:rsid w:val="00CC5CBC"/>
    <w:rsid w:val="00CE042B"/>
    <w:rsid w:val="00D312B6"/>
    <w:rsid w:val="00D46335"/>
    <w:rsid w:val="00D954B6"/>
    <w:rsid w:val="00D95AF5"/>
    <w:rsid w:val="00DB3306"/>
    <w:rsid w:val="00DD0DE2"/>
    <w:rsid w:val="00DF1C3A"/>
    <w:rsid w:val="00DF4E6F"/>
    <w:rsid w:val="00E24DB8"/>
    <w:rsid w:val="00E50B53"/>
    <w:rsid w:val="00E70A0B"/>
    <w:rsid w:val="00E91DD9"/>
    <w:rsid w:val="00E94C1F"/>
    <w:rsid w:val="00F46351"/>
    <w:rsid w:val="00F557A0"/>
    <w:rsid w:val="00FA36AD"/>
    <w:rsid w:val="00FC6F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DFA"/>
    <w:rPr>
      <w:color w:val="808080"/>
    </w:rPr>
  </w:style>
  <w:style w:type="paragraph" w:customStyle="1" w:styleId="055E9408A8824DAE922C08C60993CF1B">
    <w:name w:val="055E9408A8824DAE922C08C60993CF1B"/>
  </w:style>
  <w:style w:type="paragraph" w:customStyle="1" w:styleId="83F6C299FA2F463A9200396A0C6FE795">
    <w:name w:val="83F6C299FA2F463A9200396A0C6FE795"/>
  </w:style>
  <w:style w:type="paragraph" w:customStyle="1" w:styleId="E5B29DB5BC88418B9E41863B212F3896">
    <w:name w:val="E5B29DB5BC88418B9E41863B212F3896"/>
  </w:style>
  <w:style w:type="paragraph" w:customStyle="1" w:styleId="2AB0D33EF4DB40AFA2B98FCD92BAC7E3">
    <w:name w:val="2AB0D33EF4DB40AFA2B98FCD92BAC7E3"/>
    <w:rsid w:val="00DD0DE2"/>
  </w:style>
  <w:style w:type="paragraph" w:customStyle="1" w:styleId="8EF83B15362F4D7E9ED1E58FFA5DF6FE">
    <w:name w:val="8EF83B15362F4D7E9ED1E58FFA5DF6FE"/>
    <w:rsid w:val="00DD0DE2"/>
  </w:style>
  <w:style w:type="paragraph" w:customStyle="1" w:styleId="0F67C2180D854EB3A01B11905B2FEF4E">
    <w:name w:val="0F67C2180D854EB3A01B11905B2FEF4E"/>
    <w:rsid w:val="00DD0DE2"/>
  </w:style>
  <w:style w:type="paragraph" w:customStyle="1" w:styleId="B06D98C175994C45B8C0DD33C652B1DF">
    <w:name w:val="B06D98C175994C45B8C0DD33C652B1DF"/>
    <w:rsid w:val="00A957E5"/>
  </w:style>
  <w:style w:type="paragraph" w:customStyle="1" w:styleId="8444B02CD3CA40B685F12AB38EFF2C3B">
    <w:name w:val="8444B02CD3CA40B685F12AB38EFF2C3B"/>
    <w:rsid w:val="00A957E5"/>
  </w:style>
  <w:style w:type="paragraph" w:customStyle="1" w:styleId="1EBF941518FC4FB5AC7EB0C348215189">
    <w:name w:val="1EBF941518FC4FB5AC7EB0C348215189"/>
    <w:rsid w:val="00A957E5"/>
  </w:style>
  <w:style w:type="paragraph" w:customStyle="1" w:styleId="003A17FA3A724074A1B3CA1EA2F77775">
    <w:name w:val="003A17FA3A724074A1B3CA1EA2F77775"/>
    <w:rsid w:val="00A957E5"/>
  </w:style>
  <w:style w:type="paragraph" w:customStyle="1" w:styleId="780C5E9207FC4EC0B7EE43EEEFBD3A5D">
    <w:name w:val="780C5E9207FC4EC0B7EE43EEEFBD3A5D"/>
    <w:rsid w:val="00A957E5"/>
  </w:style>
  <w:style w:type="paragraph" w:customStyle="1" w:styleId="277954F4B7084303949CD13F716EDF62">
    <w:name w:val="277954F4B7084303949CD13F716EDF62"/>
    <w:rsid w:val="00A957E5"/>
  </w:style>
  <w:style w:type="paragraph" w:customStyle="1" w:styleId="97C4D9EFC7994F12945DBA9EF6C33BD9">
    <w:name w:val="97C4D9EFC7994F12945DBA9EF6C33BD9"/>
    <w:rsid w:val="007F6D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DIS Review">
      <a:dk1>
        <a:srgbClr val="092B57"/>
      </a:dk1>
      <a:lt1>
        <a:srgbClr val="FFFFFF"/>
      </a:lt1>
      <a:dk2>
        <a:srgbClr val="B381B3"/>
      </a:dk2>
      <a:lt2>
        <a:srgbClr val="F5A37D"/>
      </a:lt2>
      <a:accent1>
        <a:srgbClr val="AEA8D3"/>
      </a:accent1>
      <a:accent2>
        <a:srgbClr val="F5A37D"/>
      </a:accent2>
      <a:accent3>
        <a:srgbClr val="F26337"/>
      </a:accent3>
      <a:accent4>
        <a:srgbClr val="D8D8D8"/>
      </a:accent4>
      <a:accent5>
        <a:srgbClr val="A1C5F5"/>
      </a:accent5>
      <a:accent6>
        <a:srgbClr val="092B57"/>
      </a:accent6>
      <a:hlink>
        <a:srgbClr val="1B375C"/>
      </a:hlink>
      <a:folHlink>
        <a:srgbClr val="B75B53"/>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ShareHubID xmlns="166541c0-0594-4e6a-9105-c24d4b6de6f7">DOC23-171253</ShareHubID>
    <TaxCatchAll xmlns="166541c0-0594-4e6a-9105-c24d4b6de6f7">
      <Value>57</Value>
    </TaxCatchAll>
    <PMCNotes xmlns="166541c0-0594-4e6a-9105-c24d4b6de6f7" xsi:nil="true"/>
    <NonRecordJustification xmlns="685f9fda-bd71-4433-b331-92feb9553089">None</NonRecordJustifi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5550F-EA16-4020-97E8-91A84A853E2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2.xml><?xml version="1.0" encoding="utf-8"?>
<ds:datastoreItem xmlns:ds="http://schemas.openxmlformats.org/officeDocument/2006/customXml" ds:itemID="{0FCF61DE-A3F4-4000-BA3C-C85259188CA4}">
  <ds:schemaRefs>
    <ds:schemaRef ds:uri="http://schemas.microsoft.com/sharepoint/v3/contenttype/forms"/>
  </ds:schemaRefs>
</ds:datastoreItem>
</file>

<file path=customXml/itemProps3.xml><?xml version="1.0" encoding="utf-8"?>
<ds:datastoreItem xmlns:ds="http://schemas.openxmlformats.org/officeDocument/2006/customXml" ds:itemID="{622CEE82-3AD6-48B6-B21E-F473787A2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9B1982-1E56-4815-92EB-70E098CFE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10117</Words>
  <Characters>59086</Characters>
  <Application>Microsoft Office Word</Application>
  <DocSecurity>0</DocSecurity>
  <Lines>1136</Lines>
  <Paragraphs>512</Paragraphs>
  <ScaleCrop>false</ScaleCrop>
  <HeadingPairs>
    <vt:vector size="2" baseType="variant">
      <vt:variant>
        <vt:lpstr>Title</vt:lpstr>
      </vt:variant>
      <vt:variant>
        <vt:i4>1</vt:i4>
      </vt:variant>
    </vt:vector>
  </HeadingPairs>
  <TitlesOfParts>
    <vt:vector size="1" baseType="lpstr">
      <vt:lpstr>Alternative commissioning for remote and First Nations communities</vt:lpstr>
    </vt:vector>
  </TitlesOfParts>
  <Manager/>
  <Company/>
  <LinksUpToDate>false</LinksUpToDate>
  <CharactersWithSpaces>68691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commissioning for remote and First Nations communities</dc:title>
  <dc:subject/>
  <dc:creator/>
  <cp:keywords/>
  <dc:description/>
  <cp:lastModifiedBy/>
  <cp:revision>1</cp:revision>
  <dcterms:created xsi:type="dcterms:W3CDTF">2023-06-01T23:10:00Z</dcterms:created>
  <dcterms:modified xsi:type="dcterms:W3CDTF">2023-06-01T23:33:00Z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2023-06-02T09:34:46</vt:lpwstr>
  </property>
</Properties>
</file>