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F2B44C0" w14:textId="77777777" w:rsidR="0080301A" w:rsidRDefault="00E56844" w:rsidP="00496735">
      <w:pPr>
        <w:ind w:left="567"/>
        <w:rPr>
          <w:rStyle w:val="CoverLevel1"/>
        </w:rPr>
      </w:pPr>
      <w:bookmarkStart w:id="0" w:name="_Toc96326909"/>
      <w:r>
        <w:rPr>
          <w:noProof/>
          <w:lang w:eastAsia="en-AU"/>
        </w:rPr>
        <w:drawing>
          <wp:inline distT="0" distB="0" distL="0" distR="0" wp14:anchorId="1333357E" wp14:editId="2E97CFA8">
            <wp:extent cx="4175991" cy="627495"/>
            <wp:effectExtent l="0" t="0" r="0" b="1270"/>
            <wp:docPr id="6" name="Picture 6" descr="Australian Government NDIS Review - Working together to deliver the ND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75991" cy="627495"/>
                    </a:xfrm>
                    <a:prstGeom prst="rect">
                      <a:avLst/>
                    </a:prstGeom>
                    <a:noFill/>
                  </pic:spPr>
                </pic:pic>
              </a:graphicData>
            </a:graphic>
          </wp:inline>
        </w:drawing>
      </w:r>
    </w:p>
    <w:p w14:paraId="39F97AA1" w14:textId="77777777" w:rsidR="0080301A" w:rsidRDefault="0080301A" w:rsidP="0080301A">
      <w:pPr>
        <w:rPr>
          <w:lang w:val="en-US"/>
        </w:rPr>
      </w:pPr>
    </w:p>
    <w:p w14:paraId="32E23626" w14:textId="77777777" w:rsidR="0080301A" w:rsidRDefault="0080301A" w:rsidP="0080301A">
      <w:pPr>
        <w:rPr>
          <w:lang w:val="en-US"/>
        </w:rPr>
      </w:pPr>
    </w:p>
    <w:p w14:paraId="2B442A78" w14:textId="77777777" w:rsidR="00E56844" w:rsidRDefault="00E56844" w:rsidP="0080301A">
      <w:pPr>
        <w:rPr>
          <w:lang w:val="en-US"/>
        </w:rPr>
      </w:pPr>
    </w:p>
    <w:p w14:paraId="711E0F30" w14:textId="77777777" w:rsidR="00E56844" w:rsidRDefault="00E56844" w:rsidP="0080301A">
      <w:pPr>
        <w:rPr>
          <w:lang w:val="en-US"/>
        </w:rPr>
      </w:pPr>
    </w:p>
    <w:p w14:paraId="29399D39" w14:textId="77777777" w:rsidR="00496735" w:rsidRPr="00496735" w:rsidRDefault="00496735" w:rsidP="00496735"/>
    <w:p w14:paraId="2251660E" w14:textId="77777777" w:rsidR="00A62EF3" w:rsidRPr="0080301A" w:rsidRDefault="00987367" w:rsidP="00012A6F">
      <w:pPr>
        <w:pStyle w:val="Title"/>
        <w:spacing w:line="276" w:lineRule="auto"/>
        <w:ind w:left="2977" w:right="1418"/>
        <w:outlineLvl w:val="0"/>
        <w:rPr>
          <w:szCs w:val="56"/>
        </w:rPr>
      </w:pPr>
      <w:r>
        <w:rPr>
          <w:rStyle w:val="CoverLevel1"/>
        </w:rPr>
        <w:t>The role of p</w:t>
      </w:r>
      <w:r w:rsidR="003D733F">
        <w:rPr>
          <w:rStyle w:val="CoverLevel1"/>
        </w:rPr>
        <w:t>ricing and payment approaches in improving</w:t>
      </w:r>
      <w:r w:rsidR="00BF7FD4">
        <w:rPr>
          <w:rStyle w:val="CoverLevel1"/>
        </w:rPr>
        <w:t xml:space="preserve"> participant outcomes and scheme sustainability</w:t>
      </w:r>
    </w:p>
    <w:p w14:paraId="27C4F277" w14:textId="77777777" w:rsidR="00A62EF3" w:rsidRPr="00D001E2" w:rsidRDefault="00BF7FD4" w:rsidP="005A4960">
      <w:pPr>
        <w:pStyle w:val="Subtitle"/>
      </w:pPr>
      <w:r>
        <w:t>May</w:t>
      </w:r>
      <w:r w:rsidR="007E73AF" w:rsidRPr="00D001E2">
        <w:t xml:space="preserve"> 2023</w:t>
      </w:r>
    </w:p>
    <w:p w14:paraId="49968EBB" w14:textId="77777777" w:rsidR="006F7AF9" w:rsidRDefault="006F7AF9">
      <w:pPr>
        <w:spacing w:after="200" w:line="288" w:lineRule="auto"/>
        <w:rPr>
          <w:noProof/>
        </w:rPr>
      </w:pPr>
    </w:p>
    <w:p w14:paraId="2FEE6B0F" w14:textId="77777777" w:rsidR="00FB23FC" w:rsidRDefault="00FB23FC">
      <w:pPr>
        <w:spacing w:after="200" w:line="288" w:lineRule="auto"/>
        <w:rPr>
          <w:b/>
          <w:noProof/>
          <w:color w:val="FF0000"/>
          <w:sz w:val="40"/>
          <w:szCs w:val="40"/>
        </w:rPr>
        <w:sectPr w:rsidR="00FB23FC" w:rsidSect="00496735">
          <w:footerReference w:type="default" r:id="rId12"/>
          <w:headerReference w:type="first" r:id="rId13"/>
          <w:pgSz w:w="11906" w:h="16838" w:code="9"/>
          <w:pgMar w:top="1560" w:right="1134" w:bottom="1843" w:left="1134" w:header="709" w:footer="709" w:gutter="0"/>
          <w:pgNumType w:start="0"/>
          <w:cols w:space="708"/>
          <w:titlePg/>
          <w:docGrid w:linePitch="360"/>
        </w:sectPr>
      </w:pPr>
    </w:p>
    <w:p w14:paraId="688DF118" w14:textId="77777777" w:rsidR="00461654" w:rsidRPr="00912EB9" w:rsidRDefault="00461654" w:rsidP="00C04200">
      <w:pPr>
        <w:sectPr w:rsidR="00461654" w:rsidRPr="00912EB9" w:rsidSect="00D001E2">
          <w:headerReference w:type="first" r:id="rId14"/>
          <w:footerReference w:type="first" r:id="rId15"/>
          <w:pgSz w:w="11906" w:h="16838" w:code="9"/>
          <w:pgMar w:top="851" w:right="1134" w:bottom="1843" w:left="1134" w:header="992" w:footer="709" w:gutter="0"/>
          <w:pgNumType w:fmt="lowerRoman" w:start="1"/>
          <w:cols w:space="708"/>
          <w:titlePg/>
          <w:docGrid w:linePitch="360"/>
        </w:sectPr>
      </w:pPr>
    </w:p>
    <w:sdt>
      <w:sdtPr>
        <w:rPr>
          <w:rFonts w:asciiTheme="minorHAnsi" w:eastAsiaTheme="minorEastAsia" w:hAnsiTheme="minorHAnsi" w:cstheme="minorBidi"/>
          <w:b/>
          <w:noProof w:val="0"/>
          <w:color w:val="auto"/>
          <w:sz w:val="24"/>
          <w:szCs w:val="21"/>
        </w:rPr>
        <w:id w:val="415815570"/>
        <w:docPartObj>
          <w:docPartGallery w:val="Table of Contents"/>
          <w:docPartUnique/>
        </w:docPartObj>
      </w:sdtPr>
      <w:sdtEndPr>
        <w:rPr>
          <w:b w:val="0"/>
        </w:rPr>
      </w:sdtEndPr>
      <w:sdtContent>
        <w:p w14:paraId="28670CF9" w14:textId="77777777" w:rsidR="00F470D0" w:rsidRPr="00575BE7" w:rsidRDefault="414B33A1" w:rsidP="005A4960">
          <w:pPr>
            <w:pStyle w:val="TOCHeading"/>
          </w:pPr>
          <w:r w:rsidRPr="00575BE7">
            <w:t>Contents</w:t>
          </w:r>
        </w:p>
        <w:p w14:paraId="14696B7A" w14:textId="77777777" w:rsidR="003D1722" w:rsidRDefault="00CB1BCB">
          <w:pPr>
            <w:pStyle w:val="TOC2"/>
            <w:rPr>
              <w:sz w:val="22"/>
              <w:szCs w:val="22"/>
              <w:lang w:eastAsia="en-AU"/>
            </w:rPr>
          </w:pPr>
          <w:r>
            <w:fldChar w:fldCharType="begin"/>
          </w:r>
          <w:r>
            <w:instrText xml:space="preserve"> TOC \h \z \t "Heading 2,2" </w:instrText>
          </w:r>
          <w:r>
            <w:fldChar w:fldCharType="separate"/>
          </w:r>
          <w:hyperlink w:anchor="_Toc135390385" w:history="1">
            <w:r w:rsidR="003D1722" w:rsidRPr="003F42F8">
              <w:rPr>
                <w:rStyle w:val="Hyperlink"/>
              </w:rPr>
              <w:t>Overview</w:t>
            </w:r>
            <w:r w:rsidR="003D1722">
              <w:rPr>
                <w:webHidden/>
              </w:rPr>
              <w:tab/>
            </w:r>
            <w:r w:rsidR="003D1722">
              <w:rPr>
                <w:webHidden/>
              </w:rPr>
              <w:fldChar w:fldCharType="begin"/>
            </w:r>
            <w:r w:rsidR="003D1722">
              <w:rPr>
                <w:webHidden/>
              </w:rPr>
              <w:instrText xml:space="preserve"> PAGEREF _Toc135390385 \h </w:instrText>
            </w:r>
            <w:r w:rsidR="003D1722">
              <w:rPr>
                <w:webHidden/>
              </w:rPr>
            </w:r>
            <w:r w:rsidR="003D1722">
              <w:rPr>
                <w:webHidden/>
              </w:rPr>
              <w:fldChar w:fldCharType="separate"/>
            </w:r>
            <w:r w:rsidR="003D1722">
              <w:rPr>
                <w:webHidden/>
              </w:rPr>
              <w:t>2</w:t>
            </w:r>
            <w:r w:rsidR="003D1722">
              <w:rPr>
                <w:webHidden/>
              </w:rPr>
              <w:fldChar w:fldCharType="end"/>
            </w:r>
          </w:hyperlink>
        </w:p>
        <w:p w14:paraId="2B4CD195" w14:textId="77777777" w:rsidR="003D1722" w:rsidRDefault="00B67CD4">
          <w:pPr>
            <w:pStyle w:val="TOC2"/>
            <w:rPr>
              <w:sz w:val="22"/>
              <w:szCs w:val="22"/>
              <w:lang w:eastAsia="en-AU"/>
            </w:rPr>
          </w:pPr>
          <w:hyperlink w:anchor="_Toc135390386" w:history="1">
            <w:r w:rsidR="003D1722" w:rsidRPr="003F42F8">
              <w:rPr>
                <w:rStyle w:val="Hyperlink"/>
              </w:rPr>
              <w:t>Findings and focus areas for further consultation</w:t>
            </w:r>
            <w:r w:rsidR="003D1722">
              <w:rPr>
                <w:webHidden/>
              </w:rPr>
              <w:tab/>
            </w:r>
            <w:r w:rsidR="003D1722">
              <w:rPr>
                <w:webHidden/>
              </w:rPr>
              <w:fldChar w:fldCharType="begin"/>
            </w:r>
            <w:r w:rsidR="003D1722">
              <w:rPr>
                <w:webHidden/>
              </w:rPr>
              <w:instrText xml:space="preserve"> PAGEREF _Toc135390386 \h </w:instrText>
            </w:r>
            <w:r w:rsidR="003D1722">
              <w:rPr>
                <w:webHidden/>
              </w:rPr>
            </w:r>
            <w:r w:rsidR="003D1722">
              <w:rPr>
                <w:webHidden/>
              </w:rPr>
              <w:fldChar w:fldCharType="separate"/>
            </w:r>
            <w:r w:rsidR="003D1722">
              <w:rPr>
                <w:webHidden/>
              </w:rPr>
              <w:t>4</w:t>
            </w:r>
            <w:r w:rsidR="003D1722">
              <w:rPr>
                <w:webHidden/>
              </w:rPr>
              <w:fldChar w:fldCharType="end"/>
            </w:r>
          </w:hyperlink>
        </w:p>
        <w:p w14:paraId="3D1105B0" w14:textId="77777777" w:rsidR="003D1722" w:rsidRDefault="00B67CD4">
          <w:pPr>
            <w:pStyle w:val="TOC2"/>
            <w:tabs>
              <w:tab w:val="left" w:pos="660"/>
            </w:tabs>
            <w:rPr>
              <w:sz w:val="22"/>
              <w:szCs w:val="22"/>
              <w:lang w:eastAsia="en-AU"/>
            </w:rPr>
          </w:pPr>
          <w:hyperlink w:anchor="_Toc135390387" w:history="1">
            <w:r w:rsidR="003D1722" w:rsidRPr="003F42F8">
              <w:rPr>
                <w:rStyle w:val="Hyperlink"/>
                <w:rFonts w:cstheme="minorHAnsi"/>
              </w:rPr>
              <w:t>1.</w:t>
            </w:r>
            <w:r w:rsidR="003D1722">
              <w:rPr>
                <w:sz w:val="22"/>
                <w:szCs w:val="22"/>
                <w:lang w:eastAsia="en-AU"/>
              </w:rPr>
              <w:tab/>
            </w:r>
            <w:r w:rsidR="003D1722" w:rsidRPr="003F42F8">
              <w:rPr>
                <w:rStyle w:val="Hyperlink"/>
                <w:rFonts w:cstheme="minorHAnsi"/>
              </w:rPr>
              <w:t>NDIS markets are not delivering on responsive and innovative service delivery</w:t>
            </w:r>
            <w:r w:rsidR="003D1722">
              <w:rPr>
                <w:webHidden/>
              </w:rPr>
              <w:tab/>
            </w:r>
            <w:r w:rsidR="003D1722">
              <w:rPr>
                <w:webHidden/>
              </w:rPr>
              <w:fldChar w:fldCharType="begin"/>
            </w:r>
            <w:r w:rsidR="003D1722">
              <w:rPr>
                <w:webHidden/>
              </w:rPr>
              <w:instrText xml:space="preserve"> PAGEREF _Toc135390387 \h </w:instrText>
            </w:r>
            <w:r w:rsidR="003D1722">
              <w:rPr>
                <w:webHidden/>
              </w:rPr>
            </w:r>
            <w:r w:rsidR="003D1722">
              <w:rPr>
                <w:webHidden/>
              </w:rPr>
              <w:fldChar w:fldCharType="separate"/>
            </w:r>
            <w:r w:rsidR="003D1722">
              <w:rPr>
                <w:webHidden/>
              </w:rPr>
              <w:t>8</w:t>
            </w:r>
            <w:r w:rsidR="003D1722">
              <w:rPr>
                <w:webHidden/>
              </w:rPr>
              <w:fldChar w:fldCharType="end"/>
            </w:r>
          </w:hyperlink>
        </w:p>
        <w:p w14:paraId="5114127E" w14:textId="77777777" w:rsidR="003D1722" w:rsidRDefault="00B67CD4">
          <w:pPr>
            <w:pStyle w:val="TOC2"/>
            <w:tabs>
              <w:tab w:val="left" w:pos="660"/>
            </w:tabs>
            <w:rPr>
              <w:sz w:val="22"/>
              <w:szCs w:val="22"/>
              <w:lang w:eastAsia="en-AU"/>
            </w:rPr>
          </w:pPr>
          <w:hyperlink w:anchor="_Toc135390388" w:history="1">
            <w:r w:rsidR="003D1722" w:rsidRPr="003F42F8">
              <w:rPr>
                <w:rStyle w:val="Hyperlink"/>
                <w:rFonts w:cstheme="minorHAnsi"/>
              </w:rPr>
              <w:t>2.</w:t>
            </w:r>
            <w:r w:rsidR="003D1722">
              <w:rPr>
                <w:sz w:val="22"/>
                <w:szCs w:val="22"/>
                <w:lang w:eastAsia="en-AU"/>
              </w:rPr>
              <w:tab/>
            </w:r>
            <w:r w:rsidR="003D1722" w:rsidRPr="003F42F8">
              <w:rPr>
                <w:rStyle w:val="Hyperlink"/>
                <w:rFonts w:cstheme="minorHAnsi"/>
              </w:rPr>
              <w:t>What tools do governments have to address market challenges?</w:t>
            </w:r>
            <w:r w:rsidR="003D1722">
              <w:rPr>
                <w:webHidden/>
              </w:rPr>
              <w:tab/>
            </w:r>
            <w:r w:rsidR="003D1722">
              <w:rPr>
                <w:webHidden/>
              </w:rPr>
              <w:fldChar w:fldCharType="begin"/>
            </w:r>
            <w:r w:rsidR="003D1722">
              <w:rPr>
                <w:webHidden/>
              </w:rPr>
              <w:instrText xml:space="preserve"> PAGEREF _Toc135390388 \h </w:instrText>
            </w:r>
            <w:r w:rsidR="003D1722">
              <w:rPr>
                <w:webHidden/>
              </w:rPr>
            </w:r>
            <w:r w:rsidR="003D1722">
              <w:rPr>
                <w:webHidden/>
              </w:rPr>
              <w:fldChar w:fldCharType="separate"/>
            </w:r>
            <w:r w:rsidR="003D1722">
              <w:rPr>
                <w:webHidden/>
              </w:rPr>
              <w:t>19</w:t>
            </w:r>
            <w:r w:rsidR="003D1722">
              <w:rPr>
                <w:webHidden/>
              </w:rPr>
              <w:fldChar w:fldCharType="end"/>
            </w:r>
          </w:hyperlink>
        </w:p>
        <w:p w14:paraId="0A1658A6" w14:textId="77777777" w:rsidR="003D1722" w:rsidRDefault="00B67CD4">
          <w:pPr>
            <w:pStyle w:val="TOC2"/>
            <w:tabs>
              <w:tab w:val="left" w:pos="660"/>
            </w:tabs>
            <w:rPr>
              <w:sz w:val="22"/>
              <w:szCs w:val="22"/>
              <w:lang w:eastAsia="en-AU"/>
            </w:rPr>
          </w:pPr>
          <w:hyperlink w:anchor="_Toc135390389" w:history="1">
            <w:r w:rsidR="003D1722" w:rsidRPr="003F42F8">
              <w:rPr>
                <w:rStyle w:val="Hyperlink"/>
              </w:rPr>
              <w:t>3.</w:t>
            </w:r>
            <w:r w:rsidR="003D1722">
              <w:rPr>
                <w:sz w:val="22"/>
                <w:szCs w:val="22"/>
                <w:lang w:eastAsia="en-AU"/>
              </w:rPr>
              <w:tab/>
            </w:r>
            <w:r w:rsidR="003D1722" w:rsidRPr="003F42F8">
              <w:rPr>
                <w:rStyle w:val="Hyperlink"/>
              </w:rPr>
              <w:t>Price caps remain the primary market tool actively used by the NDIA</w:t>
            </w:r>
            <w:r w:rsidR="003D1722">
              <w:rPr>
                <w:webHidden/>
              </w:rPr>
              <w:tab/>
            </w:r>
            <w:r w:rsidR="003D1722">
              <w:rPr>
                <w:webHidden/>
              </w:rPr>
              <w:fldChar w:fldCharType="begin"/>
            </w:r>
            <w:r w:rsidR="003D1722">
              <w:rPr>
                <w:webHidden/>
              </w:rPr>
              <w:instrText xml:space="preserve"> PAGEREF _Toc135390389 \h </w:instrText>
            </w:r>
            <w:r w:rsidR="003D1722">
              <w:rPr>
                <w:webHidden/>
              </w:rPr>
            </w:r>
            <w:r w:rsidR="003D1722">
              <w:rPr>
                <w:webHidden/>
              </w:rPr>
              <w:fldChar w:fldCharType="separate"/>
            </w:r>
            <w:r w:rsidR="003D1722">
              <w:rPr>
                <w:webHidden/>
              </w:rPr>
              <w:t>22</w:t>
            </w:r>
            <w:r w:rsidR="003D1722">
              <w:rPr>
                <w:webHidden/>
              </w:rPr>
              <w:fldChar w:fldCharType="end"/>
            </w:r>
          </w:hyperlink>
        </w:p>
        <w:p w14:paraId="165388DC" w14:textId="77777777" w:rsidR="003D1722" w:rsidRDefault="00B67CD4">
          <w:pPr>
            <w:pStyle w:val="TOC2"/>
            <w:tabs>
              <w:tab w:val="left" w:pos="660"/>
            </w:tabs>
            <w:rPr>
              <w:sz w:val="22"/>
              <w:szCs w:val="22"/>
              <w:lang w:eastAsia="en-AU"/>
            </w:rPr>
          </w:pPr>
          <w:hyperlink w:anchor="_Toc135390390" w:history="1">
            <w:r w:rsidR="003D1722" w:rsidRPr="003F42F8">
              <w:rPr>
                <w:rStyle w:val="Hyperlink"/>
              </w:rPr>
              <w:t>4.</w:t>
            </w:r>
            <w:r w:rsidR="003D1722">
              <w:rPr>
                <w:sz w:val="22"/>
                <w:szCs w:val="22"/>
                <w:lang w:eastAsia="en-AU"/>
              </w:rPr>
              <w:tab/>
            </w:r>
            <w:r w:rsidR="003D1722" w:rsidRPr="003F42F8">
              <w:rPr>
                <w:rStyle w:val="Hyperlink"/>
              </w:rPr>
              <w:t>Providers change their service offerings in response to payment approaches</w:t>
            </w:r>
            <w:r w:rsidR="003D1722">
              <w:rPr>
                <w:webHidden/>
              </w:rPr>
              <w:tab/>
            </w:r>
            <w:r w:rsidR="003D1722">
              <w:rPr>
                <w:webHidden/>
              </w:rPr>
              <w:fldChar w:fldCharType="begin"/>
            </w:r>
            <w:r w:rsidR="003D1722">
              <w:rPr>
                <w:webHidden/>
              </w:rPr>
              <w:instrText xml:space="preserve"> PAGEREF _Toc135390390 \h </w:instrText>
            </w:r>
            <w:r w:rsidR="003D1722">
              <w:rPr>
                <w:webHidden/>
              </w:rPr>
            </w:r>
            <w:r w:rsidR="003D1722">
              <w:rPr>
                <w:webHidden/>
              </w:rPr>
              <w:fldChar w:fldCharType="separate"/>
            </w:r>
            <w:r w:rsidR="003D1722">
              <w:rPr>
                <w:webHidden/>
              </w:rPr>
              <w:t>33</w:t>
            </w:r>
            <w:r w:rsidR="003D1722">
              <w:rPr>
                <w:webHidden/>
              </w:rPr>
              <w:fldChar w:fldCharType="end"/>
            </w:r>
          </w:hyperlink>
        </w:p>
        <w:p w14:paraId="1DB62E60" w14:textId="77777777" w:rsidR="003D1722" w:rsidRDefault="00B67CD4">
          <w:pPr>
            <w:pStyle w:val="TOC2"/>
            <w:tabs>
              <w:tab w:val="left" w:pos="660"/>
            </w:tabs>
            <w:rPr>
              <w:sz w:val="22"/>
              <w:szCs w:val="22"/>
              <w:lang w:eastAsia="en-AU"/>
            </w:rPr>
          </w:pPr>
          <w:hyperlink w:anchor="_Toc135390391" w:history="1">
            <w:r w:rsidR="003D1722" w:rsidRPr="003F42F8">
              <w:rPr>
                <w:rStyle w:val="Hyperlink"/>
                <w:rFonts w:cstheme="minorHAnsi"/>
              </w:rPr>
              <w:t>5.</w:t>
            </w:r>
            <w:r w:rsidR="003D1722">
              <w:rPr>
                <w:sz w:val="22"/>
                <w:szCs w:val="22"/>
                <w:lang w:eastAsia="en-AU"/>
              </w:rPr>
              <w:tab/>
            </w:r>
            <w:r w:rsidR="003D1722" w:rsidRPr="003F42F8">
              <w:rPr>
                <w:rStyle w:val="Hyperlink"/>
                <w:rFonts w:cstheme="minorHAnsi"/>
              </w:rPr>
              <w:t>A new overarching approach to the NDIS market and pricing and payments may be needed</w:t>
            </w:r>
            <w:r w:rsidR="003D1722">
              <w:rPr>
                <w:webHidden/>
              </w:rPr>
              <w:tab/>
            </w:r>
            <w:r w:rsidR="003D1722">
              <w:rPr>
                <w:webHidden/>
              </w:rPr>
              <w:fldChar w:fldCharType="begin"/>
            </w:r>
            <w:r w:rsidR="003D1722">
              <w:rPr>
                <w:webHidden/>
              </w:rPr>
              <w:instrText xml:space="preserve"> PAGEREF _Toc135390391 \h </w:instrText>
            </w:r>
            <w:r w:rsidR="003D1722">
              <w:rPr>
                <w:webHidden/>
              </w:rPr>
            </w:r>
            <w:r w:rsidR="003D1722">
              <w:rPr>
                <w:webHidden/>
              </w:rPr>
              <w:fldChar w:fldCharType="separate"/>
            </w:r>
            <w:r w:rsidR="003D1722">
              <w:rPr>
                <w:webHidden/>
              </w:rPr>
              <w:t>39</w:t>
            </w:r>
            <w:r w:rsidR="003D1722">
              <w:rPr>
                <w:webHidden/>
              </w:rPr>
              <w:fldChar w:fldCharType="end"/>
            </w:r>
          </w:hyperlink>
        </w:p>
        <w:p w14:paraId="711DD32B" w14:textId="77777777" w:rsidR="003D1722" w:rsidRDefault="00B67CD4">
          <w:pPr>
            <w:pStyle w:val="TOC2"/>
            <w:tabs>
              <w:tab w:val="left" w:pos="660"/>
            </w:tabs>
            <w:rPr>
              <w:sz w:val="22"/>
              <w:szCs w:val="22"/>
              <w:lang w:eastAsia="en-AU"/>
            </w:rPr>
          </w:pPr>
          <w:hyperlink w:anchor="_Toc135390392" w:history="1">
            <w:r w:rsidR="003D1722" w:rsidRPr="003F42F8">
              <w:rPr>
                <w:rStyle w:val="Hyperlink"/>
                <w:rFonts w:cstheme="minorHAnsi"/>
              </w:rPr>
              <w:t>6.</w:t>
            </w:r>
            <w:r w:rsidR="003D1722">
              <w:rPr>
                <w:sz w:val="22"/>
                <w:szCs w:val="22"/>
                <w:lang w:eastAsia="en-AU"/>
              </w:rPr>
              <w:tab/>
            </w:r>
            <w:r w:rsidR="003D1722" w:rsidRPr="003F42F8">
              <w:rPr>
                <w:rStyle w:val="Hyperlink"/>
                <w:rFonts w:cstheme="minorHAnsi"/>
              </w:rPr>
              <w:t>Next steps</w:t>
            </w:r>
            <w:r w:rsidR="003D1722">
              <w:rPr>
                <w:webHidden/>
              </w:rPr>
              <w:tab/>
            </w:r>
            <w:r w:rsidR="003D1722">
              <w:rPr>
                <w:webHidden/>
              </w:rPr>
              <w:fldChar w:fldCharType="begin"/>
            </w:r>
            <w:r w:rsidR="003D1722">
              <w:rPr>
                <w:webHidden/>
              </w:rPr>
              <w:instrText xml:space="preserve"> PAGEREF _Toc135390392 \h </w:instrText>
            </w:r>
            <w:r w:rsidR="003D1722">
              <w:rPr>
                <w:webHidden/>
              </w:rPr>
            </w:r>
            <w:r w:rsidR="003D1722">
              <w:rPr>
                <w:webHidden/>
              </w:rPr>
              <w:fldChar w:fldCharType="separate"/>
            </w:r>
            <w:r w:rsidR="003D1722">
              <w:rPr>
                <w:webHidden/>
              </w:rPr>
              <w:t>46</w:t>
            </w:r>
            <w:r w:rsidR="003D1722">
              <w:rPr>
                <w:webHidden/>
              </w:rPr>
              <w:fldChar w:fldCharType="end"/>
            </w:r>
          </w:hyperlink>
        </w:p>
        <w:p w14:paraId="203AFE9A" w14:textId="77777777" w:rsidR="003D1722" w:rsidRDefault="00B67CD4">
          <w:pPr>
            <w:pStyle w:val="TOC2"/>
            <w:rPr>
              <w:sz w:val="22"/>
              <w:szCs w:val="22"/>
              <w:lang w:eastAsia="en-AU"/>
            </w:rPr>
          </w:pPr>
          <w:hyperlink w:anchor="_Toc135390393" w:history="1">
            <w:r w:rsidR="003D1722" w:rsidRPr="003F42F8">
              <w:rPr>
                <w:rStyle w:val="Hyperlink"/>
              </w:rPr>
              <w:t>Appendix 1 – Alternative text</w:t>
            </w:r>
            <w:r w:rsidR="003D1722">
              <w:rPr>
                <w:webHidden/>
              </w:rPr>
              <w:tab/>
            </w:r>
            <w:r w:rsidR="003D1722">
              <w:rPr>
                <w:webHidden/>
              </w:rPr>
              <w:fldChar w:fldCharType="begin"/>
            </w:r>
            <w:r w:rsidR="003D1722">
              <w:rPr>
                <w:webHidden/>
              </w:rPr>
              <w:instrText xml:space="preserve"> PAGEREF _Toc135390393 \h </w:instrText>
            </w:r>
            <w:r w:rsidR="003D1722">
              <w:rPr>
                <w:webHidden/>
              </w:rPr>
            </w:r>
            <w:r w:rsidR="003D1722">
              <w:rPr>
                <w:webHidden/>
              </w:rPr>
              <w:fldChar w:fldCharType="separate"/>
            </w:r>
            <w:r w:rsidR="003D1722">
              <w:rPr>
                <w:webHidden/>
              </w:rPr>
              <w:t>47</w:t>
            </w:r>
            <w:r w:rsidR="003D1722">
              <w:rPr>
                <w:webHidden/>
              </w:rPr>
              <w:fldChar w:fldCharType="end"/>
            </w:r>
          </w:hyperlink>
        </w:p>
        <w:p w14:paraId="124615AB" w14:textId="77777777" w:rsidR="000B7E98" w:rsidRPr="00734F00" w:rsidRDefault="00CB1BCB" w:rsidP="00285C80">
          <w:pPr>
            <w:sectPr w:rsidR="000B7E98" w:rsidRPr="00734F00" w:rsidSect="002A0C9C">
              <w:headerReference w:type="first" r:id="rId16"/>
              <w:type w:val="continuous"/>
              <w:pgSz w:w="11906" w:h="16838" w:code="9"/>
              <w:pgMar w:top="1560" w:right="1134" w:bottom="1843" w:left="1134" w:header="992" w:footer="709" w:gutter="0"/>
              <w:pgNumType w:fmt="lowerRoman" w:start="1"/>
              <w:cols w:space="708"/>
              <w:docGrid w:linePitch="360"/>
            </w:sectPr>
          </w:pPr>
          <w:r>
            <w:fldChar w:fldCharType="end"/>
          </w:r>
        </w:p>
      </w:sdtContent>
    </w:sdt>
    <w:p w14:paraId="25B9EBAF" w14:textId="77777777" w:rsidR="004E5054" w:rsidRDefault="00BF7FD4" w:rsidP="00CB1BCB">
      <w:pPr>
        <w:pStyle w:val="Heading2"/>
      </w:pPr>
      <w:bookmarkStart w:id="1" w:name="_Toc135390385"/>
      <w:bookmarkEnd w:id="0"/>
      <w:r>
        <w:lastRenderedPageBreak/>
        <w:t>Overview</w:t>
      </w:r>
      <w:bookmarkEnd w:id="1"/>
    </w:p>
    <w:p w14:paraId="689352A4" w14:textId="77777777" w:rsidR="00BF7FD4" w:rsidRDefault="00BF7FD4" w:rsidP="00BF7FD4">
      <w:r>
        <w:t xml:space="preserve">The NDIS was established to empower participants to engage directly with their chosen providers on what services they receive, and what price they would pay. </w:t>
      </w:r>
    </w:p>
    <w:p w14:paraId="76D65503" w14:textId="77777777" w:rsidR="00BF7FD4" w:rsidRDefault="00BF7FD4" w:rsidP="00BF7FD4">
      <w:r>
        <w:t>Done well, this market based approach would allow providers to receive signals from participants about what supports they value. Providers would compete and have flexibility to implement innovations that could best meet participants’ needs and preferences.</w:t>
      </w:r>
    </w:p>
    <w:p w14:paraId="17884276" w14:textId="77777777" w:rsidR="00BF7FD4" w:rsidRDefault="00BF7FD4" w:rsidP="00BF7FD4">
      <w:r>
        <w:t xml:space="preserve">The NDIS market, however, is not yet working for all participants. </w:t>
      </w:r>
    </w:p>
    <w:p w14:paraId="616A71C5" w14:textId="77777777" w:rsidR="00BF7FD4" w:rsidRDefault="00BF7FD4" w:rsidP="00BF7FD4">
      <w:r>
        <w:t xml:space="preserve">An over-reliance on competition has seen some participants face persistent service gaps (including those in remote and First Nations communities) and a loss of social capital. Competition in the NDIS market will not always be possible. For some NDIS services, participants and communities, contestable arrangements could better support access while ensuring providers are responsive to the needs of participants. </w:t>
      </w:r>
    </w:p>
    <w:p w14:paraId="4B9B88A7" w14:textId="77777777" w:rsidR="00BF7FD4" w:rsidRDefault="00BF7FD4" w:rsidP="00BF7FD4">
      <w:r>
        <w:t>Poor market outcomes are also being driven by a lack of accessible and timely information coupled with difficulties in navigating and coordinating supports. The effectiveness of market intermediaries is unclear. Poor market design also means the incentives for providers are not aligned to participants’ and governments’ interests.</w:t>
      </w:r>
    </w:p>
    <w:p w14:paraId="28D652B3" w14:textId="77777777" w:rsidR="00BF7FD4" w:rsidRDefault="00BF7FD4" w:rsidP="00BF7FD4">
      <w:r>
        <w:t>Governments cannot manage government-funded ‘social markets’ – such as the NDIS – in the same way as they would manage ‘private markets’. For social markets to function well, governments need to monitor and, when necessary, intervene using a mix of market-based tools. In the NDIS, however, only a very limited number of market-based tools are currently actively used by governments.</w:t>
      </w:r>
    </w:p>
    <w:p w14:paraId="412F634F" w14:textId="77777777" w:rsidR="00BF7FD4" w:rsidRPr="00987367" w:rsidRDefault="00BF7FD4" w:rsidP="00987367">
      <w:pPr>
        <w:rPr>
          <w:i/>
          <w:color w:val="483F7E" w:themeColor="accent1" w:themeShade="80"/>
        </w:rPr>
      </w:pPr>
      <w:r w:rsidRPr="00987367">
        <w:rPr>
          <w:i/>
          <w:color w:val="483F7E" w:themeColor="accent1" w:themeShade="80"/>
        </w:rPr>
        <w:t>Governments have relied on price caps to incentivise pro</w:t>
      </w:r>
      <w:r w:rsidR="00987367">
        <w:rPr>
          <w:i/>
          <w:color w:val="483F7E" w:themeColor="accent1" w:themeShade="80"/>
        </w:rPr>
        <w:t>viders to operate ‘efficiently’</w:t>
      </w:r>
      <w:r w:rsidR="00987367">
        <w:rPr>
          <w:i/>
          <w:color w:val="483F7E" w:themeColor="accent1" w:themeShade="80"/>
        </w:rPr>
        <w:br/>
      </w:r>
      <w:r w:rsidRPr="00987367">
        <w:rPr>
          <w:i/>
          <w:color w:val="483F7E" w:themeColor="accent1" w:themeShade="80"/>
        </w:rPr>
        <w:t>in the NDIS market.</w:t>
      </w:r>
    </w:p>
    <w:p w14:paraId="5201B613" w14:textId="77777777" w:rsidR="00BF7FD4" w:rsidRDefault="00BF7FD4" w:rsidP="00BF7FD4">
      <w:r>
        <w:lastRenderedPageBreak/>
        <w:t xml:space="preserve">Around 80% of NDIS payments between October and December 2022 were subject to a price cap. Price caps are applied bluntly in the scheme, which has limited the development of a responsive and innovative market. </w:t>
      </w:r>
    </w:p>
    <w:p w14:paraId="26B2D1B8" w14:textId="77777777" w:rsidR="00BF7FD4" w:rsidRDefault="00BF7FD4" w:rsidP="00BF7FD4">
      <w:r>
        <w:t>Current price caps aim to encourage providers to operate ‘efficiently’. However, some stakeholders suggest current price caps do not support the supply of services to participants with more complex needs. Some providers also suggest they are unable to invest in the capability of their workforce under current pricing arrangements and where workers can leave and set up as independent contractors or join online platforms. This exacerbates workforce retention challenges.</w:t>
      </w:r>
    </w:p>
    <w:p w14:paraId="35243904" w14:textId="77777777" w:rsidR="00BF7FD4" w:rsidRDefault="00BF7FD4" w:rsidP="00BF7FD4">
      <w:r>
        <w:t>Providers also have little incentive to compete on price or quality. Price caps act more as a ‘price anchor’ than a ‘price ceiling’. Participants purchase supports using their NDIS funding, and may be less sensitive to prices than they would be in a ‘private market’.</w:t>
      </w:r>
    </w:p>
    <w:p w14:paraId="49AC18A2" w14:textId="77777777" w:rsidR="00BF7FD4" w:rsidRDefault="00BF7FD4" w:rsidP="00BF7FD4">
      <w:r>
        <w:t xml:space="preserve">Price caps and other price controls are therefore an important constraint on how much participants are charged and will continue to be needed over the short and medium term. There are, however, significant opportunities to improve how price caps are set. </w:t>
      </w:r>
    </w:p>
    <w:p w14:paraId="6A39D1F2" w14:textId="77777777" w:rsidR="00BF7FD4" w:rsidRPr="00987367" w:rsidRDefault="00BF7FD4" w:rsidP="00987367">
      <w:pPr>
        <w:rPr>
          <w:i/>
          <w:color w:val="483F7E" w:themeColor="accent1" w:themeShade="80"/>
        </w:rPr>
      </w:pPr>
      <w:r w:rsidRPr="00987367">
        <w:rPr>
          <w:i/>
          <w:color w:val="483F7E" w:themeColor="accent1" w:themeShade="80"/>
        </w:rPr>
        <w:t>Fee-for-service payments in the NDIS are easy to administer and understand, but reward providers for each hour of service they deliver, regardless of the ‘value’ for participants.</w:t>
      </w:r>
    </w:p>
    <w:p w14:paraId="47381B9D" w14:textId="77777777" w:rsidR="00BF7FD4" w:rsidRDefault="00BF7FD4" w:rsidP="00BF7FD4">
      <w:r>
        <w:t xml:space="preserve">Considering different approaches to the current fee-for-service payments (such as, outcome payments) could better align incentives for providers with the interests of participants and governments to promote the delivery of ‘value-based’ supports. </w:t>
      </w:r>
    </w:p>
    <w:p w14:paraId="4E8822B0" w14:textId="77777777" w:rsidR="00BF7FD4" w:rsidRDefault="00BF7FD4" w:rsidP="00BF7FD4">
      <w:r>
        <w:t xml:space="preserve">Approaches where participants ‘enrol’ with a provider for a period could strengthen the focus on providers’ relationship with participants and encourage them to invest in participants’ capability. Enrolment approaches also have the </w:t>
      </w:r>
      <w:r>
        <w:lastRenderedPageBreak/>
        <w:t xml:space="preserve">potential to stabilise the demand profile for providers and assist providers to rely less on a casual workforce. </w:t>
      </w:r>
    </w:p>
    <w:p w14:paraId="57A78CCF" w14:textId="77777777" w:rsidR="00BF7FD4" w:rsidRDefault="00BF7FD4" w:rsidP="00BF7FD4">
      <w:r>
        <w:t>But different payment approaches need to be considered carefully to avoid introducing perverse incentives for providers and to maintain participant choice.</w:t>
      </w:r>
    </w:p>
    <w:p w14:paraId="51D1B6FE" w14:textId="77777777" w:rsidR="00BF7FD4" w:rsidRPr="00987367" w:rsidRDefault="00BF7FD4" w:rsidP="00987367">
      <w:pPr>
        <w:rPr>
          <w:i/>
          <w:color w:val="483F7E" w:themeColor="accent1" w:themeShade="80"/>
        </w:rPr>
      </w:pPr>
      <w:r w:rsidRPr="00987367">
        <w:rPr>
          <w:i/>
          <w:color w:val="483F7E" w:themeColor="accent1" w:themeShade="80"/>
        </w:rPr>
        <w:t xml:space="preserve">Previous reviews suggested in the long-term replacing price caps with ‘light touch’ price monitoring and greater transparency on prices and quality </w:t>
      </w:r>
    </w:p>
    <w:p w14:paraId="75660749" w14:textId="77777777" w:rsidR="00BF7FD4" w:rsidRDefault="00BF7FD4" w:rsidP="00BF7FD4">
      <w:r>
        <w:t>Improved transparency on prices and quality is critical. However, on its own this will not provide the competitive pressure needed to improve supply and competition. Price deregulation risks a potential ‘ratcheting effect’ where providers increase the price of, and volume of, supports. This could adversely affect scheme sustainability and affordability.</w:t>
      </w:r>
    </w:p>
    <w:p w14:paraId="663273A1" w14:textId="77777777" w:rsidR="00BF7FD4" w:rsidRDefault="00BF7FD4" w:rsidP="00BF7FD4">
      <w:r>
        <w:t>Foundational reforms are needed to realise the benefits of a market-based approach. This could include ensuring participants are supported to be active consumers in NDIS markets and providers are incentivised to improve outcomes for participants. Governments have a clear and transparent strategy for the NDIS market. Using contestable approaches could also help achieve better outcomes in some NDIS sub-markets.</w:t>
      </w:r>
    </w:p>
    <w:p w14:paraId="388AC7EC" w14:textId="77777777" w:rsidR="00BF7FD4" w:rsidRDefault="00BF7FD4" w:rsidP="00C04200">
      <w:r>
        <w:t>This paper identifies a number of focus areas for further consultation. Over the months ahead, we will continue to consult participants, providers, workers, unions, disability representative and carer organisations, disability service providers and other disability sector stakeholders. This will help us better understand these focus areas and how the overarching market approach and pricing and payment approaches may improve participant outcomes and scheme sustainability.</w:t>
      </w:r>
      <w:r>
        <w:br w:type="page"/>
      </w:r>
    </w:p>
    <w:p w14:paraId="3F2479CF" w14:textId="77777777" w:rsidR="00BF7FD4" w:rsidRDefault="00BF7FD4" w:rsidP="00BF7FD4">
      <w:pPr>
        <w:pStyle w:val="Heading2"/>
      </w:pPr>
      <w:bookmarkStart w:id="2" w:name="_Toc135390386"/>
      <w:r>
        <w:lastRenderedPageBreak/>
        <w:t>Findings and focus areas for further consultation</w:t>
      </w:r>
      <w:bookmarkEnd w:id="2"/>
    </w:p>
    <w:p w14:paraId="7561C234" w14:textId="29D85132" w:rsidR="00BF7FD4" w:rsidRPr="00D82172" w:rsidRDefault="00586754" w:rsidP="00012A6F">
      <w:pPr>
        <w:pStyle w:val="B1-Heading1"/>
        <w:outlineLvl w:val="2"/>
        <w:rPr>
          <w:i/>
        </w:rPr>
      </w:pPr>
      <w:r w:rsidRPr="00F325AD">
        <w:t>Finding 1</w:t>
      </w:r>
      <w:r w:rsidR="00F325AD" w:rsidRPr="00F325AD">
        <w:t>:</w:t>
      </w:r>
      <w:r w:rsidR="00F325AD">
        <w:rPr>
          <w:i/>
        </w:rPr>
        <w:t xml:space="preserve"> </w:t>
      </w:r>
      <w:r w:rsidR="00BF7FD4" w:rsidRPr="00BF7FD4">
        <w:t>There are opportunities to improve NDIS pricing arrangements over the short- to medium-term</w:t>
      </w:r>
    </w:p>
    <w:p w14:paraId="42643416" w14:textId="77777777" w:rsidR="00BF7FD4" w:rsidRDefault="00BF7FD4" w:rsidP="009D296A">
      <w:pPr>
        <w:pStyle w:val="B1-Body"/>
      </w:pPr>
      <w:r>
        <w:t xml:space="preserve">Price caps are set based on poor quality and incomplete data, and are applied bluntly in the NDIS. </w:t>
      </w:r>
    </w:p>
    <w:p w14:paraId="192EF8C0" w14:textId="77777777" w:rsidR="00BF7FD4" w:rsidRDefault="00BF7FD4" w:rsidP="009D296A">
      <w:pPr>
        <w:pStyle w:val="B1-Body"/>
      </w:pPr>
      <w:r>
        <w:t>Price caps are not supporting the development of a responsive and innovative market. Providers have little incentive to compete on price or quality, with price caps acting more as a ‘price anchor’ than a ‘price ceiling’. Without normal competitive market pressures from participants, price caps and other price controls provide an important constraint on how much participants are charged; and will continue to be needed over the short and medium term.</w:t>
      </w:r>
    </w:p>
    <w:p w14:paraId="3A099F8A" w14:textId="77777777" w:rsidR="00BF7FD4" w:rsidRDefault="00BF7FD4" w:rsidP="009D296A">
      <w:pPr>
        <w:pStyle w:val="B1-Body"/>
      </w:pPr>
      <w:r>
        <w:t>That said, there are significant opportunities to improve how price c</w:t>
      </w:r>
      <w:r w:rsidR="00987367">
        <w:t>aps and price controls are set.</w:t>
      </w:r>
      <w:r w:rsidR="00987367">
        <w:br/>
      </w:r>
      <w:r>
        <w:t xml:space="preserve">The use of different pricing approaches could also be more effective than the current price controls. </w:t>
      </w:r>
    </w:p>
    <w:p w14:paraId="1E3A370B" w14:textId="77777777" w:rsidR="00BF7FD4" w:rsidRPr="00BF7FD4" w:rsidRDefault="00BF7FD4" w:rsidP="00012A6F">
      <w:pPr>
        <w:pStyle w:val="B1-Heading2"/>
        <w:outlineLvl w:val="3"/>
      </w:pPr>
      <w:r w:rsidRPr="00BF7FD4">
        <w:t>Focus areas for further consultation</w:t>
      </w:r>
    </w:p>
    <w:p w14:paraId="3A5E6688" w14:textId="77777777" w:rsidR="00BF7FD4" w:rsidRDefault="00BF7FD4" w:rsidP="009D296A">
      <w:pPr>
        <w:pStyle w:val="B1-Body"/>
      </w:pPr>
      <w:r>
        <w:t>To improve NDIS pricing arrangements over the short to medium term, there may be benefits in exploring options such as:</w:t>
      </w:r>
    </w:p>
    <w:p w14:paraId="52903876" w14:textId="77777777" w:rsidR="00BF7FD4" w:rsidRPr="002D26D4" w:rsidRDefault="00BF7FD4" w:rsidP="002D26D4">
      <w:pPr>
        <w:pStyle w:val="B1-Listbullets"/>
      </w:pPr>
      <w:r w:rsidRPr="002D26D4">
        <w:t xml:space="preserve">Ensuring that the setting of price caps is transparent, including greater use of market data and independent price monitoring and/or price setting. This could ensure NDIS price caps better reflect efficient prices, strengthen confidence in the price setting process, and support ongoing investment in the sector. </w:t>
      </w:r>
    </w:p>
    <w:p w14:paraId="01D2E488" w14:textId="77777777" w:rsidR="00BF7FD4" w:rsidRPr="002D26D4" w:rsidRDefault="00BF7FD4" w:rsidP="002D26D4">
      <w:pPr>
        <w:pStyle w:val="B1-Listbullets"/>
      </w:pPr>
      <w:r w:rsidRPr="002D26D4">
        <w:t>Further differentiating price caps to reflect the additional costs involved in delivering services to participants with more complex needs and in regional areas. If this can be achieved without creating excessive administrative burden, it could improve supply and access to quality supports for participants.</w:t>
      </w:r>
    </w:p>
    <w:p w14:paraId="1295EAD5" w14:textId="77777777" w:rsidR="00BF7FD4" w:rsidRPr="002D26D4" w:rsidRDefault="00BF7FD4" w:rsidP="002D26D4">
      <w:pPr>
        <w:pStyle w:val="B1-Listbullets"/>
      </w:pPr>
      <w:r w:rsidRPr="002D26D4">
        <w:t>Implementing ‘preferred provider’ panel arrangements – where providers agree to supply supports at an agreed price and on agreed terms – as a possible alternative to price cap arrangements for certain NDIS supports. The NDIA could leverage its ‘buying power’ to negotiate prices with providers. This could provide a simplified option for part</w:t>
      </w:r>
      <w:r w:rsidR="00987367">
        <w:t xml:space="preserve">icipants in </w:t>
      </w:r>
      <w:r w:rsidR="00987367">
        <w:lastRenderedPageBreak/>
        <w:t>accessing supports,</w:t>
      </w:r>
      <w:r w:rsidR="00987367">
        <w:br/>
      </w:r>
      <w:r w:rsidRPr="002D26D4">
        <w:t xml:space="preserve">without limiting their choice. </w:t>
      </w:r>
    </w:p>
    <w:p w14:paraId="1C5EB46A" w14:textId="77777777" w:rsidR="00DF2370" w:rsidRPr="002D26D4" w:rsidRDefault="00BF7FD4" w:rsidP="009D296A">
      <w:pPr>
        <w:pStyle w:val="B1-Body"/>
        <w:rPr>
          <w:b/>
          <w:i/>
        </w:rPr>
      </w:pPr>
      <w:r w:rsidRPr="002D26D4">
        <w:rPr>
          <w:b/>
          <w:i/>
        </w:rPr>
        <w:t>We want to hear from you about the above a</w:t>
      </w:r>
      <w:r w:rsidR="002D26D4">
        <w:rPr>
          <w:b/>
          <w:i/>
        </w:rPr>
        <w:t>nd other options to improve the</w:t>
      </w:r>
      <w:r w:rsidR="002D26D4">
        <w:rPr>
          <w:b/>
          <w:i/>
        </w:rPr>
        <w:br/>
      </w:r>
      <w:r w:rsidRPr="002D26D4">
        <w:rPr>
          <w:b/>
          <w:i/>
        </w:rPr>
        <w:t>NDIS pricing arrangements.</w:t>
      </w:r>
      <w:r w:rsidR="00DF2370" w:rsidRPr="002D26D4">
        <w:rPr>
          <w:b/>
          <w:i/>
        </w:rPr>
        <w:br w:type="page"/>
      </w:r>
    </w:p>
    <w:p w14:paraId="783C187A" w14:textId="5DA45DE6" w:rsidR="00DF2370" w:rsidRPr="00D82172" w:rsidRDefault="00F51A45" w:rsidP="00012A6F">
      <w:pPr>
        <w:pStyle w:val="B1-Heading1"/>
        <w:outlineLvl w:val="2"/>
        <w:rPr>
          <w:i/>
        </w:rPr>
      </w:pPr>
      <w:r w:rsidRPr="00F325AD">
        <w:lastRenderedPageBreak/>
        <w:t>Finding 2</w:t>
      </w:r>
      <w:r w:rsidR="00F325AD" w:rsidRPr="00F325AD">
        <w:t>:</w:t>
      </w:r>
      <w:r w:rsidR="00F325AD" w:rsidRPr="00F325AD">
        <w:rPr>
          <w:i/>
        </w:rPr>
        <w:t xml:space="preserve"> </w:t>
      </w:r>
      <w:r w:rsidR="00DF2370" w:rsidRPr="00F325AD">
        <w:t>The</w:t>
      </w:r>
      <w:r w:rsidR="00DF2370" w:rsidRPr="00B56ED6">
        <w:t xml:space="preserve"> fee-for-service payment approach rewards NDIS providers for the volume of supports they deliver, rather than for supporting participants to achieve outcomes</w:t>
      </w:r>
    </w:p>
    <w:p w14:paraId="3483F596" w14:textId="77777777" w:rsidR="00DF2370" w:rsidRPr="00B56ED6" w:rsidRDefault="00DF2370" w:rsidP="009D296A">
      <w:pPr>
        <w:pStyle w:val="B1-Body"/>
      </w:pPr>
      <w:r w:rsidRPr="00B56ED6">
        <w:t>Fee-for-service payment</w:t>
      </w:r>
      <w:r>
        <w:t xml:space="preserve"> approache</w:t>
      </w:r>
      <w:r w:rsidRPr="00B56ED6">
        <w:t xml:space="preserve">s are </w:t>
      </w:r>
      <w:r>
        <w:t>easy</w:t>
      </w:r>
      <w:r w:rsidRPr="00B56ED6">
        <w:t xml:space="preserve"> to administer and understand, but also have drawbacks. For most NDIS supports, providers are paid for each hour of service they deliver, regardless of the ‘value’ for participants. </w:t>
      </w:r>
    </w:p>
    <w:p w14:paraId="4571394F" w14:textId="77777777" w:rsidR="00DF2370" w:rsidRPr="00B56ED6" w:rsidRDefault="00DF2370" w:rsidP="009D296A">
      <w:pPr>
        <w:pStyle w:val="B1-Body"/>
      </w:pPr>
      <w:r w:rsidRPr="00B56ED6">
        <w:t>This means there are perverse incentives for providers to maximise the volume and types of supports they deliver, in order to maximise the total payment they receive. This, in turn, does not reward provider</w:t>
      </w:r>
      <w:r>
        <w:t>s</w:t>
      </w:r>
      <w:r w:rsidRPr="00B56ED6">
        <w:t xml:space="preserve"> to support participants to be more independent and can place pressure on scheme sustainability.</w:t>
      </w:r>
    </w:p>
    <w:p w14:paraId="23B05FEC" w14:textId="77777777" w:rsidR="00DF2370" w:rsidRPr="00B56ED6" w:rsidRDefault="00DF2370" w:rsidP="00012A6F">
      <w:pPr>
        <w:pStyle w:val="B1-Heading2"/>
        <w:outlineLvl w:val="3"/>
      </w:pPr>
      <w:r w:rsidRPr="00B56ED6">
        <w:t>Focus areas for further consultation</w:t>
      </w:r>
    </w:p>
    <w:p w14:paraId="405C9A81" w14:textId="77777777" w:rsidR="00DF2370" w:rsidRPr="00B56ED6" w:rsidRDefault="00DF2370" w:rsidP="009D296A">
      <w:pPr>
        <w:pStyle w:val="B1-Body"/>
      </w:pPr>
      <w:r w:rsidRPr="00B56ED6">
        <w:t>Other payment approaches</w:t>
      </w:r>
      <w:r>
        <w:t xml:space="preserve"> (</w:t>
      </w:r>
      <w:r w:rsidRPr="00B56ED6">
        <w:t>such as</w:t>
      </w:r>
      <w:r>
        <w:t>,</w:t>
      </w:r>
      <w:r w:rsidRPr="00B56ED6">
        <w:t xml:space="preserve"> </w:t>
      </w:r>
      <w:r w:rsidRPr="3DFFC190">
        <w:t>outcome</w:t>
      </w:r>
      <w:r>
        <w:t>,</w:t>
      </w:r>
      <w:r w:rsidRPr="3DFFC190">
        <w:t xml:space="preserve"> </w:t>
      </w:r>
      <w:r>
        <w:t xml:space="preserve">enrolment and blended </w:t>
      </w:r>
      <w:r w:rsidRPr="00B56ED6">
        <w:t>payments</w:t>
      </w:r>
      <w:r>
        <w:t>)</w:t>
      </w:r>
      <w:r w:rsidRPr="00B56ED6">
        <w:t xml:space="preserve"> could be used to better align incentives for providers with the interest</w:t>
      </w:r>
      <w:r>
        <w:t>s</w:t>
      </w:r>
      <w:r w:rsidRPr="00B56ED6">
        <w:t xml:space="preserve"> of participants and governments and promote the delivery of ‘value-based’ supports in the NDIS. </w:t>
      </w:r>
    </w:p>
    <w:p w14:paraId="3BA0226D" w14:textId="77777777" w:rsidR="00DF2370" w:rsidRPr="00B56ED6" w:rsidRDefault="00DF2370" w:rsidP="009D296A">
      <w:pPr>
        <w:pStyle w:val="B1-Body"/>
      </w:pPr>
      <w:r w:rsidRPr="00B56ED6">
        <w:t xml:space="preserve">However, it is important to carefully consider the advantages and disadvantages of different payment approaches to avoid introducing perverse incentives for providers and maintain choice. </w:t>
      </w:r>
    </w:p>
    <w:p w14:paraId="09558817" w14:textId="77777777" w:rsidR="00DF2370" w:rsidRPr="002D26D4" w:rsidRDefault="00DF2370" w:rsidP="009D296A">
      <w:pPr>
        <w:pStyle w:val="B1-Body"/>
        <w:rPr>
          <w:b/>
          <w:i/>
        </w:rPr>
      </w:pPr>
      <w:r w:rsidRPr="002D26D4">
        <w:rPr>
          <w:b/>
          <w:i/>
        </w:rPr>
        <w:t>We want to hear from you about opportunities to use other payment approaches in the NDIS along with complementary measures (such as, improved market monitoring).</w:t>
      </w:r>
    </w:p>
    <w:p w14:paraId="3152A1B0" w14:textId="77777777" w:rsidR="00DF2370" w:rsidRPr="002D26D4" w:rsidRDefault="00DF2370" w:rsidP="009D296A">
      <w:pPr>
        <w:pStyle w:val="B1-Body"/>
        <w:rPr>
          <w:b/>
          <w:i/>
        </w:rPr>
      </w:pPr>
      <w:r w:rsidRPr="002D26D4">
        <w:rPr>
          <w:b/>
          <w:i/>
        </w:rPr>
        <w:t>We are interested in what approaches could be considered for different types of supports, including daily living supports, therapy supports and others.</w:t>
      </w:r>
    </w:p>
    <w:p w14:paraId="4A11B3C7" w14:textId="77777777" w:rsidR="00DF2370" w:rsidRDefault="00DF2370" w:rsidP="009D296A">
      <w:pPr>
        <w:pStyle w:val="B1-Body"/>
      </w:pPr>
      <w:r w:rsidRPr="002D26D4">
        <w:rPr>
          <w:b/>
          <w:i/>
        </w:rPr>
        <w:t>We are also interesting in how these approaches may potentially be implemented in the scheme.</w:t>
      </w:r>
      <w:r>
        <w:br w:type="page"/>
      </w:r>
    </w:p>
    <w:p w14:paraId="242AC724" w14:textId="1E604F50" w:rsidR="0010407B" w:rsidRPr="00B56ED6" w:rsidRDefault="00D82172" w:rsidP="00012A6F">
      <w:pPr>
        <w:pStyle w:val="B1-Heading1"/>
        <w:outlineLvl w:val="2"/>
        <w:rPr>
          <w:color w:val="092B57" w:themeColor="text1"/>
        </w:rPr>
      </w:pPr>
      <w:r w:rsidRPr="00F325AD">
        <w:lastRenderedPageBreak/>
        <w:t>Finding 3</w:t>
      </w:r>
      <w:r w:rsidR="00F325AD" w:rsidRPr="00F325AD">
        <w:t>:</w:t>
      </w:r>
      <w:r w:rsidR="00F325AD">
        <w:t xml:space="preserve"> </w:t>
      </w:r>
      <w:r w:rsidR="0010407B" w:rsidRPr="00B56ED6">
        <w:t>A lack of transparency</w:t>
      </w:r>
      <w:r w:rsidR="00F325AD">
        <w:t xml:space="preserve"> around prices, volume, quality </w:t>
      </w:r>
      <w:r w:rsidR="0010407B" w:rsidRPr="00B56ED6">
        <w:t>and outcomes is restri</w:t>
      </w:r>
      <w:r w:rsidR="00F325AD">
        <w:t>cting the effectiveness of</w:t>
      </w:r>
      <w:r w:rsidR="00F325AD">
        <w:br/>
        <w:t xml:space="preserve">NDIS </w:t>
      </w:r>
      <w:r w:rsidR="0010407B" w:rsidRPr="00B56ED6">
        <w:t>service delivery</w:t>
      </w:r>
    </w:p>
    <w:p w14:paraId="18266E7F" w14:textId="77777777" w:rsidR="0010407B" w:rsidRPr="00B56ED6" w:rsidRDefault="0010407B" w:rsidP="009D296A">
      <w:pPr>
        <w:pStyle w:val="B1-Body"/>
        <w:rPr>
          <w:lang w:eastAsia="en-AU"/>
        </w:rPr>
      </w:pPr>
      <w:r w:rsidRPr="00B56ED6">
        <w:rPr>
          <w:lang w:eastAsia="en-AU"/>
        </w:rPr>
        <w:t xml:space="preserve">Participants can find it difficult to compare providers or negotiate prices as they cannot readily access the information they need to make informed decisions. The NDIA has limited visibility of whether the supports participants purchase help to achieve outcomes. </w:t>
      </w:r>
    </w:p>
    <w:p w14:paraId="1569BD61" w14:textId="77777777" w:rsidR="0010407B" w:rsidRPr="00B56ED6" w:rsidRDefault="0010407B" w:rsidP="009D296A">
      <w:pPr>
        <w:pStyle w:val="B1-Body"/>
        <w:rPr>
          <w:lang w:eastAsia="en-AU"/>
        </w:rPr>
      </w:pPr>
      <w:r w:rsidRPr="00B56ED6">
        <w:rPr>
          <w:lang w:eastAsia="en-AU"/>
        </w:rPr>
        <w:t xml:space="preserve">Increased transparency of NDIS transactions – including on prices, volume, quality and outcomes – would support: </w:t>
      </w:r>
    </w:p>
    <w:p w14:paraId="1492F168" w14:textId="77777777" w:rsidR="0010407B" w:rsidRPr="00B56ED6" w:rsidRDefault="0010407B" w:rsidP="002D26D4">
      <w:pPr>
        <w:pStyle w:val="B1-Listbullets"/>
        <w:rPr>
          <w:lang w:eastAsia="en-AU"/>
        </w:rPr>
      </w:pPr>
      <w:r w:rsidRPr="00B56ED6">
        <w:rPr>
          <w:lang w:eastAsia="en-AU"/>
        </w:rPr>
        <w:t>participants to become more informed and empowered consumers</w:t>
      </w:r>
    </w:p>
    <w:p w14:paraId="6443DAFA" w14:textId="77777777" w:rsidR="0010407B" w:rsidRPr="00B56ED6" w:rsidRDefault="0010407B" w:rsidP="002D26D4">
      <w:pPr>
        <w:pStyle w:val="B1-Listbullets"/>
        <w:rPr>
          <w:lang w:eastAsia="en-AU"/>
        </w:rPr>
      </w:pPr>
      <w:r w:rsidRPr="00B56ED6">
        <w:rPr>
          <w:lang w:eastAsia="en-AU"/>
        </w:rPr>
        <w:t>providers to compete on price and quality and deliver outcomes for participants</w:t>
      </w:r>
    </w:p>
    <w:p w14:paraId="1A348B81" w14:textId="77777777" w:rsidR="0010407B" w:rsidRPr="00B72306" w:rsidRDefault="0010407B" w:rsidP="002D26D4">
      <w:pPr>
        <w:pStyle w:val="B1-Listbullets"/>
        <w:rPr>
          <w:lang w:eastAsia="en-AU"/>
        </w:rPr>
      </w:pPr>
      <w:r w:rsidRPr="00B56ED6">
        <w:rPr>
          <w:lang w:eastAsia="en-AU"/>
        </w:rPr>
        <w:t>governments, as market stewards, to better monitor pricing and market outcomes</w:t>
      </w:r>
      <w:r>
        <w:rPr>
          <w:lang w:eastAsia="en-AU"/>
        </w:rPr>
        <w:t>,</w:t>
      </w:r>
      <w:r w:rsidRPr="00B56ED6">
        <w:rPr>
          <w:lang w:eastAsia="en-AU"/>
        </w:rPr>
        <w:t xml:space="preserve"> and set prices more effectively (in line with </w:t>
      </w:r>
      <w:r w:rsidRPr="00B56ED6">
        <w:rPr>
          <w:i/>
          <w:iCs/>
          <w:lang w:eastAsia="en-AU"/>
        </w:rPr>
        <w:t>Finding 1</w:t>
      </w:r>
      <w:r w:rsidRPr="00B56ED6">
        <w:rPr>
          <w:lang w:eastAsia="en-AU"/>
        </w:rPr>
        <w:t xml:space="preserve">). </w:t>
      </w:r>
    </w:p>
    <w:p w14:paraId="6CD88FCE" w14:textId="77777777" w:rsidR="0010407B" w:rsidRPr="00B56ED6" w:rsidRDefault="0010407B" w:rsidP="00012A6F">
      <w:pPr>
        <w:pStyle w:val="B1-Heading2"/>
        <w:outlineLvl w:val="3"/>
      </w:pPr>
      <w:r w:rsidRPr="00B56ED6">
        <w:t>Focus areas for further consultation</w:t>
      </w:r>
    </w:p>
    <w:p w14:paraId="4B11B7AA" w14:textId="77777777" w:rsidR="0010407B" w:rsidRPr="00B56ED6" w:rsidRDefault="0010407B" w:rsidP="009D296A">
      <w:pPr>
        <w:pStyle w:val="B1-Body"/>
        <w:rPr>
          <w:b/>
          <w:bCs/>
        </w:rPr>
      </w:pPr>
      <w:r w:rsidRPr="00B56ED6">
        <w:t>Options to improve transparency in the NDIS market could include strengthening:</w:t>
      </w:r>
    </w:p>
    <w:p w14:paraId="01BFC8E8" w14:textId="77777777" w:rsidR="0010407B" w:rsidRPr="00B56ED6" w:rsidRDefault="0010407B" w:rsidP="002D26D4">
      <w:pPr>
        <w:pStyle w:val="B1-Listbullets"/>
        <w:rPr>
          <w:lang w:eastAsia="en-AU"/>
        </w:rPr>
      </w:pPr>
      <w:r w:rsidRPr="00B56ED6">
        <w:rPr>
          <w:lang w:eastAsia="en-AU"/>
        </w:rPr>
        <w:t xml:space="preserve">Market monitoring </w:t>
      </w:r>
      <w:r>
        <w:rPr>
          <w:lang w:eastAsia="en-AU"/>
        </w:rPr>
        <w:t>through</w:t>
      </w:r>
      <w:r w:rsidRPr="00B56ED6">
        <w:rPr>
          <w:lang w:eastAsia="en-AU"/>
        </w:rPr>
        <w:t xml:space="preserve"> systematically collecting transaction data</w:t>
      </w:r>
      <w:r>
        <w:rPr>
          <w:lang w:eastAsia="en-AU"/>
        </w:rPr>
        <w:t xml:space="preserve"> </w:t>
      </w:r>
      <w:r w:rsidRPr="00B56ED6">
        <w:rPr>
          <w:lang w:eastAsia="en-AU"/>
        </w:rPr>
        <w:t>supported by near real-time payment systems.</w:t>
      </w:r>
      <w:r>
        <w:rPr>
          <w:lang w:eastAsia="en-AU"/>
        </w:rPr>
        <w:t xml:space="preserve"> This would include collecting more transaction data for</w:t>
      </w:r>
      <w:r w:rsidRPr="00B56ED6">
        <w:rPr>
          <w:lang w:eastAsia="en-AU"/>
        </w:rPr>
        <w:t xml:space="preserve"> the self-managed market</w:t>
      </w:r>
      <w:r>
        <w:rPr>
          <w:lang w:eastAsia="en-AU"/>
        </w:rPr>
        <w:t>.</w:t>
      </w:r>
    </w:p>
    <w:p w14:paraId="358B1F15" w14:textId="77777777" w:rsidR="0010407B" w:rsidRPr="00B56ED6" w:rsidRDefault="0010407B" w:rsidP="002D26D4">
      <w:pPr>
        <w:pStyle w:val="B1-Listbullets"/>
        <w:rPr>
          <w:lang w:eastAsia="en-AU"/>
        </w:rPr>
      </w:pPr>
      <w:r w:rsidRPr="00B56ED6">
        <w:rPr>
          <w:lang w:eastAsia="en-AU"/>
        </w:rPr>
        <w:t>Requirements for providers to disclose their prices, such as through an online marketplace similar to the My Aged Care website.</w:t>
      </w:r>
    </w:p>
    <w:p w14:paraId="35344851" w14:textId="77777777" w:rsidR="0010407B" w:rsidRPr="00B56ED6" w:rsidRDefault="0010407B" w:rsidP="002D26D4">
      <w:pPr>
        <w:pStyle w:val="B1-Listbullets"/>
        <w:rPr>
          <w:lang w:eastAsia="en-AU"/>
        </w:rPr>
      </w:pPr>
      <w:r w:rsidRPr="00B56ED6">
        <w:rPr>
          <w:lang w:eastAsia="en-AU"/>
        </w:rPr>
        <w:t>Measuring and reporting on provider performance – that is, the extent to which they provide quality supports that achieve outcomes for participants. This should be reported in an accessible format for participants, such as a star rating system</w:t>
      </w:r>
      <w:r>
        <w:rPr>
          <w:lang w:eastAsia="en-AU"/>
        </w:rPr>
        <w:t>,</w:t>
      </w:r>
      <w:r w:rsidRPr="00B56ED6">
        <w:rPr>
          <w:lang w:eastAsia="en-AU"/>
        </w:rPr>
        <w:t xml:space="preserve"> which are used across several social services. </w:t>
      </w:r>
    </w:p>
    <w:p w14:paraId="31C7142F" w14:textId="77777777" w:rsidR="0010407B" w:rsidRPr="002D26D4" w:rsidRDefault="0010407B" w:rsidP="002D26D4">
      <w:pPr>
        <w:pStyle w:val="B1-Body"/>
        <w:rPr>
          <w:b/>
          <w:i/>
        </w:rPr>
      </w:pPr>
      <w:r w:rsidRPr="002D26D4">
        <w:rPr>
          <w:b/>
          <w:i/>
        </w:rPr>
        <w:t xml:space="preserve">We want to hear from you about the above and other options to improve </w:t>
      </w:r>
      <w:r w:rsidRPr="002D26D4" w:rsidDel="002C0338">
        <w:rPr>
          <w:b/>
          <w:i/>
        </w:rPr>
        <w:t>transparency</w:t>
      </w:r>
      <w:r w:rsidRPr="002D26D4">
        <w:rPr>
          <w:b/>
          <w:i/>
        </w:rPr>
        <w:t xml:space="preserve"> in the NDIS market, including how these options could be implemented without adding to administrative and compliance burden.</w:t>
      </w:r>
      <w:r w:rsidRPr="002D26D4">
        <w:rPr>
          <w:b/>
          <w:i/>
        </w:rPr>
        <w:br w:type="page"/>
      </w:r>
    </w:p>
    <w:p w14:paraId="3D5E10DD" w14:textId="20A16EB4" w:rsidR="00F51A45" w:rsidRPr="00D82172" w:rsidRDefault="00D82172" w:rsidP="00012A6F">
      <w:pPr>
        <w:pStyle w:val="B1-Heading1"/>
        <w:outlineLvl w:val="2"/>
      </w:pPr>
      <w:r w:rsidRPr="00F325AD">
        <w:lastRenderedPageBreak/>
        <w:t>Finding 4</w:t>
      </w:r>
      <w:r w:rsidR="00F325AD" w:rsidRPr="00F325AD">
        <w:t>:</w:t>
      </w:r>
      <w:r w:rsidR="00F325AD">
        <w:t xml:space="preserve"> </w:t>
      </w:r>
      <w:r w:rsidR="00F51A45" w:rsidRPr="00D82172">
        <w:t>Removing price caps could place pressure on scheme costs. Instead, the focus should be on foundational market reforms that help align incentives for participants, providers and governments</w:t>
      </w:r>
    </w:p>
    <w:p w14:paraId="5CB9B431" w14:textId="77777777" w:rsidR="00F51A45" w:rsidRDefault="00F51A45" w:rsidP="009D296A">
      <w:pPr>
        <w:pStyle w:val="B1-Body"/>
      </w:pPr>
      <w:r w:rsidRPr="00B56ED6" w:rsidDel="00EE433E">
        <w:t xml:space="preserve">Over time, replacing price caps with more ‘light touch’ pricing arrangements as currently intended – including improving price monitoring with greater transparency on prices and quality – could encourage greater competition. </w:t>
      </w:r>
    </w:p>
    <w:p w14:paraId="5B42A7B2" w14:textId="77777777" w:rsidR="00F51A45" w:rsidRPr="00B56ED6" w:rsidRDefault="00F51A45" w:rsidP="009D296A">
      <w:pPr>
        <w:pStyle w:val="B1-Body"/>
      </w:pPr>
      <w:r w:rsidRPr="00B56ED6">
        <w:t xml:space="preserve">However, improved price monitoring and transparency alone would not be sufficient to address the lack of competition </w:t>
      </w:r>
      <w:r>
        <w:t>on</w:t>
      </w:r>
      <w:r w:rsidRPr="00B56ED6">
        <w:t xml:space="preserve"> price and quality across the NDIS market. Price deregulation risks a potential ‘ratcheting effect’ where providers could increase the price and volume of supports, adversely affecting the sustainability and affordability of the NDIS. </w:t>
      </w:r>
    </w:p>
    <w:p w14:paraId="27284716" w14:textId="77777777" w:rsidR="00F51A45" w:rsidRPr="00B56ED6" w:rsidRDefault="00F51A45" w:rsidP="009D296A">
      <w:pPr>
        <w:pStyle w:val="B1-Body"/>
      </w:pPr>
      <w:r w:rsidRPr="00B56ED6">
        <w:t>Realising the benefits of a market-based approach for the NDIS should instead focus on foundation</w:t>
      </w:r>
      <w:r>
        <w:t>al</w:t>
      </w:r>
      <w:r w:rsidRPr="00B56ED6">
        <w:t xml:space="preserve"> market reforms. These reforms should better reflect the nature of participants, supports and providers in it</w:t>
      </w:r>
      <w:r>
        <w:t>s</w:t>
      </w:r>
      <w:r w:rsidRPr="00B56ED6">
        <w:t xml:space="preserve"> design</w:t>
      </w:r>
      <w:r>
        <w:t>. These</w:t>
      </w:r>
      <w:r w:rsidRPr="00B56ED6">
        <w:t xml:space="preserve"> could </w:t>
      </w:r>
      <w:r>
        <w:t>also consider</w:t>
      </w:r>
      <w:r w:rsidRPr="00B56ED6">
        <w:t xml:space="preserve"> whether the goal of competition is optimal or whether contestable arrangements </w:t>
      </w:r>
      <w:r>
        <w:t>would better</w:t>
      </w:r>
      <w:r w:rsidRPr="00B56ED6">
        <w:t xml:space="preserve"> deliver </w:t>
      </w:r>
      <w:r>
        <w:t>outcomes for</w:t>
      </w:r>
      <w:r w:rsidRPr="00B56ED6">
        <w:t xml:space="preserve"> the NDIS – </w:t>
      </w:r>
      <w:r>
        <w:t>achieving</w:t>
      </w:r>
      <w:r w:rsidRPr="00B56ED6">
        <w:t xml:space="preserve"> a good life for participants and a sustainable scheme.</w:t>
      </w:r>
    </w:p>
    <w:p w14:paraId="4F3BCE4A" w14:textId="77777777" w:rsidR="00F51A45" w:rsidRPr="00B56ED6" w:rsidRDefault="00F51A45" w:rsidP="00012A6F">
      <w:pPr>
        <w:pStyle w:val="B1-Heading2"/>
        <w:outlineLvl w:val="3"/>
      </w:pPr>
      <w:r w:rsidRPr="00B56ED6">
        <w:t xml:space="preserve">Focus areas for further </w:t>
      </w:r>
      <w:r w:rsidRPr="00D82172">
        <w:t>consultation</w:t>
      </w:r>
    </w:p>
    <w:p w14:paraId="4465C8AC" w14:textId="77777777" w:rsidR="00F51A45" w:rsidRPr="00B56ED6" w:rsidRDefault="00F51A45" w:rsidP="009D296A">
      <w:pPr>
        <w:pStyle w:val="B1-Body"/>
        <w:rPr>
          <w:rFonts w:ascii="Segoe UI" w:hAnsi="Segoe UI" w:cs="Segoe UI"/>
          <w:szCs w:val="24"/>
        </w:rPr>
      </w:pPr>
      <w:r w:rsidRPr="00F51A45">
        <w:rPr>
          <w:rStyle w:val="B1-BodyChar"/>
        </w:rPr>
        <w:t>Foundatio</w:t>
      </w:r>
      <w:r w:rsidRPr="00B56ED6">
        <w:rPr>
          <w:rFonts w:ascii="Segoe UI" w:hAnsi="Segoe UI" w:cs="Segoe UI"/>
          <w:szCs w:val="24"/>
        </w:rPr>
        <w:t>nal market refo</w:t>
      </w:r>
      <w:r w:rsidRPr="00F51A45">
        <w:rPr>
          <w:rStyle w:val="B1-BodyChar"/>
        </w:rPr>
        <w:t>rms to align incentives for participants, providers and governments could look</w:t>
      </w:r>
      <w:r w:rsidRPr="00B56ED6">
        <w:rPr>
          <w:rFonts w:ascii="Segoe UI" w:hAnsi="Segoe UI" w:cs="Segoe UI"/>
          <w:szCs w:val="24"/>
        </w:rPr>
        <w:t xml:space="preserve"> at ways to ensure:</w:t>
      </w:r>
    </w:p>
    <w:p w14:paraId="0FD03585" w14:textId="77777777" w:rsidR="00F51A45" w:rsidRPr="00F51A45" w:rsidRDefault="00F51A45" w:rsidP="002D26D4">
      <w:pPr>
        <w:pStyle w:val="B1-Listbullets"/>
      </w:pPr>
      <w:r w:rsidRPr="00B56ED6">
        <w:t xml:space="preserve">participants have the information and capability to make informed choices on the value and quality of </w:t>
      </w:r>
      <w:r w:rsidRPr="00F51A45">
        <w:t xml:space="preserve">supports, including the help they need to do this </w:t>
      </w:r>
    </w:p>
    <w:p w14:paraId="41A1EA49" w14:textId="77777777" w:rsidR="00F51A45" w:rsidRPr="00F51A45" w:rsidRDefault="00F51A45" w:rsidP="002D26D4">
      <w:pPr>
        <w:pStyle w:val="B1-Listbullets"/>
      </w:pPr>
      <w:r w:rsidRPr="00F51A45">
        <w:t>participants’ budgets support them to be active consumers in the NDIS market</w:t>
      </w:r>
    </w:p>
    <w:p w14:paraId="7BA5CA7B" w14:textId="77777777" w:rsidR="00F51A45" w:rsidRPr="00F51A45" w:rsidRDefault="00F51A45" w:rsidP="002D26D4">
      <w:pPr>
        <w:pStyle w:val="B1-Listbullets"/>
      </w:pPr>
      <w:r w:rsidRPr="00F51A45">
        <w:t xml:space="preserve">providers are incentivised to compete on price and quality, and deliver the volume and mix of supports that improve outcomes for participants </w:t>
      </w:r>
    </w:p>
    <w:p w14:paraId="2255DA54" w14:textId="77777777" w:rsidR="00F51A45" w:rsidRPr="00F51A45" w:rsidRDefault="00F51A45" w:rsidP="002D26D4">
      <w:pPr>
        <w:pStyle w:val="B1-Listbullets"/>
      </w:pPr>
      <w:r w:rsidRPr="00F51A45">
        <w:t>a range of contestable approaches are used in NDIS sub-markets when they would achieve better outcomes</w:t>
      </w:r>
    </w:p>
    <w:p w14:paraId="52A595EA" w14:textId="77777777" w:rsidR="00F51A45" w:rsidRPr="00B56ED6" w:rsidRDefault="00F51A45" w:rsidP="002D26D4">
      <w:pPr>
        <w:pStyle w:val="B1-Listbullets"/>
        <w:rPr>
          <w:b/>
        </w:rPr>
      </w:pPr>
      <w:r w:rsidRPr="00F51A45">
        <w:t>governments have clear roles and responsibilities with a coherent and transparent strategy for stewarding the</w:t>
      </w:r>
      <w:r w:rsidRPr="00B56ED6">
        <w:t xml:space="preserve"> NDIS market – including the approach for the o</w:t>
      </w:r>
      <w:r w:rsidR="00987367">
        <w:t xml:space="preserve">verall market and </w:t>
      </w:r>
      <w:r w:rsidR="00987367">
        <w:lastRenderedPageBreak/>
        <w:t>for different</w:t>
      </w:r>
      <w:r w:rsidR="00987367">
        <w:br/>
      </w:r>
      <w:r w:rsidRPr="00B56ED6">
        <w:t>sub-markets (such as regional and remote markets).</w:t>
      </w:r>
    </w:p>
    <w:p w14:paraId="35752433" w14:textId="77777777" w:rsidR="00D82172" w:rsidRPr="002D26D4" w:rsidRDefault="00F51A45" w:rsidP="009D296A">
      <w:pPr>
        <w:pStyle w:val="B1-Body"/>
        <w:rPr>
          <w:b/>
          <w:i/>
        </w:rPr>
      </w:pPr>
      <w:r w:rsidRPr="002D26D4">
        <w:rPr>
          <w:b/>
          <w:i/>
        </w:rPr>
        <w:t>We want to hear from you about when and how these foundati</w:t>
      </w:r>
      <w:r w:rsidR="00D82172" w:rsidRPr="002D26D4">
        <w:rPr>
          <w:b/>
          <w:i/>
        </w:rPr>
        <w:t>onal reforms could</w:t>
      </w:r>
      <w:r w:rsidR="00D82172" w:rsidRPr="002D26D4">
        <w:rPr>
          <w:b/>
          <w:i/>
        </w:rPr>
        <w:br/>
        <w:t>be achieved.</w:t>
      </w:r>
    </w:p>
    <w:p w14:paraId="69FA8B79" w14:textId="77777777" w:rsidR="00D82172" w:rsidRDefault="00F51A45" w:rsidP="009D296A">
      <w:pPr>
        <w:pStyle w:val="B1-Body"/>
      </w:pPr>
      <w:r w:rsidRPr="002D26D4">
        <w:rPr>
          <w:b/>
          <w:i/>
        </w:rPr>
        <w:t>We are also interested in other reforms to ensure we have the right overall architecture and incentives in the NDIS market.</w:t>
      </w:r>
      <w:r w:rsidR="00D82172">
        <w:br w:type="page"/>
      </w:r>
    </w:p>
    <w:p w14:paraId="4BC57DB8" w14:textId="77777777" w:rsidR="00D7519C" w:rsidRPr="00E239E6" w:rsidRDefault="00D7519C" w:rsidP="00D7519C">
      <w:pPr>
        <w:pStyle w:val="Heading2"/>
        <w:numPr>
          <w:ilvl w:val="0"/>
          <w:numId w:val="20"/>
        </w:numPr>
        <w:rPr>
          <w:rFonts w:asciiTheme="minorHAnsi" w:hAnsiTheme="minorHAnsi" w:cstheme="minorHAnsi"/>
        </w:rPr>
      </w:pPr>
      <w:bookmarkStart w:id="3" w:name="_Toc129879038"/>
      <w:bookmarkStart w:id="4" w:name="_Toc129965650"/>
      <w:bookmarkStart w:id="5" w:name="_Toc129966515"/>
      <w:bookmarkStart w:id="6" w:name="_Toc130805372"/>
      <w:bookmarkStart w:id="7" w:name="_Toc130812193"/>
      <w:bookmarkStart w:id="8" w:name="_Toc130829309"/>
      <w:bookmarkStart w:id="9" w:name="_Toc130918871"/>
      <w:bookmarkStart w:id="10" w:name="_Toc130922069"/>
      <w:bookmarkStart w:id="11" w:name="_Toc130987673"/>
      <w:bookmarkStart w:id="12" w:name="_Toc130991788"/>
      <w:bookmarkStart w:id="13" w:name="_Toc130994336"/>
      <w:bookmarkStart w:id="14" w:name="_Toc131059860"/>
      <w:bookmarkStart w:id="15" w:name="_Toc131168279"/>
      <w:bookmarkStart w:id="16" w:name="_Toc131170991"/>
      <w:bookmarkStart w:id="17" w:name="_Toc131181840"/>
      <w:bookmarkStart w:id="18" w:name="_Toc131352078"/>
      <w:bookmarkStart w:id="19" w:name="_Toc131414740"/>
      <w:bookmarkStart w:id="20" w:name="_Toc131502160"/>
      <w:bookmarkStart w:id="21" w:name="_Toc131580656"/>
      <w:bookmarkStart w:id="22" w:name="_Toc131596901"/>
      <w:bookmarkStart w:id="23" w:name="_Toc131602764"/>
      <w:bookmarkStart w:id="24" w:name="_Toc131613585"/>
      <w:bookmarkStart w:id="25" w:name="_Toc131621593"/>
      <w:bookmarkStart w:id="26" w:name="_Toc131631047"/>
      <w:bookmarkStart w:id="27" w:name="_Toc131674143"/>
      <w:bookmarkStart w:id="28" w:name="_Toc131679191"/>
      <w:bookmarkStart w:id="29" w:name="_Toc131682010"/>
      <w:bookmarkStart w:id="30" w:name="_Toc131685017"/>
      <w:bookmarkStart w:id="31" w:name="_Toc131686291"/>
      <w:bookmarkStart w:id="32" w:name="_Toc132205300"/>
      <w:bookmarkStart w:id="33" w:name="_Toc132205410"/>
      <w:bookmarkStart w:id="34" w:name="_Toc132213570"/>
      <w:bookmarkStart w:id="35" w:name="_Toc132217932"/>
      <w:bookmarkStart w:id="36" w:name="_Toc132230937"/>
      <w:bookmarkStart w:id="37" w:name="_Toc132235048"/>
      <w:bookmarkStart w:id="38" w:name="_Toc132387981"/>
      <w:bookmarkStart w:id="39" w:name="_Toc132371367"/>
      <w:bookmarkStart w:id="40" w:name="_Toc132375314"/>
      <w:bookmarkStart w:id="41" w:name="_Toc132389781"/>
      <w:bookmarkStart w:id="42" w:name="_Toc132458016"/>
      <w:bookmarkStart w:id="43" w:name="_Toc132474957"/>
      <w:bookmarkStart w:id="44" w:name="_Toc132620277"/>
      <w:bookmarkStart w:id="45" w:name="_Toc132622464"/>
      <w:bookmarkStart w:id="46" w:name="_Toc132623266"/>
      <w:bookmarkStart w:id="47" w:name="_Toc132624472"/>
      <w:bookmarkStart w:id="48" w:name="_Toc132635183"/>
      <w:bookmarkStart w:id="49" w:name="_Toc132635330"/>
      <w:bookmarkStart w:id="50" w:name="_Toc134122485"/>
      <w:bookmarkStart w:id="51" w:name="_Toc134621117"/>
      <w:bookmarkStart w:id="52" w:name="_Toc135390387"/>
      <w:r w:rsidRPr="00E239E6">
        <w:rPr>
          <w:rFonts w:asciiTheme="minorHAnsi" w:hAnsiTheme="minorHAnsi" w:cstheme="minorHAnsi"/>
        </w:rPr>
        <w:lastRenderedPageBreak/>
        <w:t>NDIS markets</w:t>
      </w:r>
      <w:bookmarkEnd w:id="3"/>
      <w:bookmarkEnd w:id="4"/>
      <w:bookmarkEnd w:id="5"/>
      <w:r w:rsidRPr="00E239E6">
        <w:rPr>
          <w:rFonts w:asciiTheme="minorHAnsi" w:hAnsiTheme="minorHAnsi" w:cstheme="minorHAnsi"/>
        </w:rPr>
        <w:t xml:space="preserve"> are not delivering on responsive and innovative service delivery</w:t>
      </w:r>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p>
    <w:p w14:paraId="7274D0BC" w14:textId="77777777" w:rsidR="00D7519C" w:rsidRPr="00D7519C" w:rsidRDefault="00D7519C" w:rsidP="00D7519C">
      <w:pPr>
        <w:rPr>
          <w:rFonts w:eastAsia="Times New Roman"/>
          <w:lang w:eastAsia="en-AU"/>
        </w:rPr>
      </w:pPr>
      <w:r w:rsidRPr="00D7519C">
        <w:rPr>
          <w:rFonts w:eastAsia="Times New Roman"/>
          <w:lang w:eastAsia="en-AU"/>
        </w:rPr>
        <w:t xml:space="preserve">Prior to the NDIS, Commonwealth, state and territory governments were responsible for determining what services were provided, and for how much, under different disability support programs. </w:t>
      </w:r>
    </w:p>
    <w:p w14:paraId="0678B4C9" w14:textId="77777777" w:rsidR="00D7519C" w:rsidRPr="00D7519C" w:rsidRDefault="00D7519C" w:rsidP="00D7519C">
      <w:pPr>
        <w:rPr>
          <w:rFonts w:eastAsia="Times New Roman"/>
          <w:lang w:eastAsia="en-AU"/>
        </w:rPr>
      </w:pPr>
      <w:r w:rsidRPr="00D7519C">
        <w:rPr>
          <w:rFonts w:eastAsia="Times New Roman"/>
          <w:lang w:eastAsia="en-AU"/>
        </w:rPr>
        <w:t>People with disability had very little visibility or control over these decisions.</w:t>
      </w:r>
      <w:r w:rsidRPr="00E239E6">
        <w:rPr>
          <w:rStyle w:val="EndnoteReference"/>
          <w:rFonts w:eastAsia="Times New Roman" w:cstheme="minorHAnsi"/>
          <w:lang w:eastAsia="en-AU"/>
        </w:rPr>
        <w:endnoteReference w:id="2"/>
      </w:r>
    </w:p>
    <w:p w14:paraId="5FBC397E" w14:textId="77777777" w:rsidR="00D7519C" w:rsidRPr="00D7519C" w:rsidRDefault="00D7519C" w:rsidP="00D7519C">
      <w:pPr>
        <w:rPr>
          <w:rFonts w:eastAsia="Times New Roman"/>
          <w:lang w:eastAsia="en-AU"/>
        </w:rPr>
      </w:pPr>
      <w:r w:rsidRPr="3DFFC190">
        <w:t xml:space="preserve">The NDIS was established </w:t>
      </w:r>
      <w:r>
        <w:t>in part</w:t>
      </w:r>
      <w:r w:rsidRPr="3DFFC190">
        <w:t xml:space="preserve"> to change this. </w:t>
      </w:r>
      <w:r>
        <w:t>The aim is to empower p</w:t>
      </w:r>
      <w:r w:rsidRPr="3DFFC190">
        <w:t xml:space="preserve">articipants to engage directly with their chosen provider on </w:t>
      </w:r>
      <w:r w:rsidRPr="00D7519C">
        <w:rPr>
          <w:rFonts w:eastAsia="Times New Roman"/>
          <w:lang w:eastAsia="en-AU"/>
        </w:rPr>
        <w:t>what services they receive, and what price they would pay. If done well, this new market-based approach would allow providers to receive signals from participants about what supports they value. Providers would compete and have flexibility to implement innovations that could best meet participants’ needs and preferences.</w:t>
      </w:r>
    </w:p>
    <w:p w14:paraId="52F672A2" w14:textId="77777777" w:rsidR="00D7519C" w:rsidRPr="00D7519C" w:rsidRDefault="00D7519C" w:rsidP="00D7519C">
      <w:pPr>
        <w:rPr>
          <w:rFonts w:eastAsia="Times New Roman"/>
          <w:lang w:eastAsia="en-AU"/>
        </w:rPr>
      </w:pPr>
      <w:r w:rsidRPr="00D7519C">
        <w:rPr>
          <w:rFonts w:eastAsia="Times New Roman"/>
          <w:lang w:eastAsia="en-AU"/>
        </w:rPr>
        <w:t>For many participants, having choice and control over who and what services are delivered has led to better participant outcomes.</w:t>
      </w:r>
      <w:r w:rsidRPr="3DFFC190">
        <w:rPr>
          <w:rStyle w:val="EndnoteReference"/>
          <w:rFonts w:eastAsia="Times New Roman"/>
          <w:lang w:eastAsia="en-AU"/>
        </w:rPr>
        <w:endnoteReference w:id="3"/>
      </w:r>
    </w:p>
    <w:p w14:paraId="5398A537" w14:textId="77777777" w:rsidR="00D7519C" w:rsidRDefault="00D7519C" w:rsidP="00D7519C">
      <w:pPr>
        <w:rPr>
          <w:rFonts w:eastAsia="Times New Roman"/>
          <w:lang w:eastAsia="en-AU"/>
        </w:rPr>
      </w:pPr>
      <w:r w:rsidRPr="00D7519C">
        <w:rPr>
          <w:rFonts w:eastAsia="Times New Roman"/>
          <w:lang w:eastAsia="en-AU"/>
        </w:rPr>
        <w:t>There is no doubt that the market-based approach has achieved a transformational change and that innovation has emerged in how services are delivered for many NDIS participants.</w:t>
      </w:r>
    </w:p>
    <w:p w14:paraId="22070C32" w14:textId="77777777" w:rsidR="00D7519C" w:rsidRPr="00D7519C" w:rsidRDefault="00D7519C" w:rsidP="00D7519C">
      <w:pPr>
        <w:pStyle w:val="Quote"/>
        <w:rPr>
          <w:rFonts w:eastAsia="Times New Roman"/>
          <w:lang w:eastAsia="en-AU"/>
        </w:rPr>
      </w:pPr>
      <w:r>
        <w:rPr>
          <w:rFonts w:eastAsia="Times New Roman"/>
          <w:lang w:eastAsia="en-AU"/>
        </w:rPr>
        <w:t>‘</w:t>
      </w:r>
      <w:r w:rsidRPr="00D7519C">
        <w:rPr>
          <w:rFonts w:eastAsia="Times New Roman"/>
          <w:lang w:eastAsia="en-AU"/>
        </w:rPr>
        <w:t xml:space="preserve">… a young person with Down’s Syndrome who used to receive services from specialist disability providers, being picked up by a bus for people with disabilities and taken to activities that might or might not interest them. When given a budget for services, the person learned how to take public transport, to go the cinema and to buy her favourite meal from McDonald’s, which she loved. </w:t>
      </w:r>
      <w:r w:rsidRPr="00D7519C">
        <w:rPr>
          <w:rFonts w:eastAsia="Times New Roman"/>
          <w:b/>
          <w:color w:val="8F578F" w:themeColor="text2" w:themeShade="BF"/>
          <w:lang w:eastAsia="en-AU"/>
        </w:rPr>
        <w:t>Best practice was not the achievement of the most efficient allocation of resources within an enterprise, but the meeting of the preferences of the person</w:t>
      </w:r>
      <w:r w:rsidRPr="00D7519C">
        <w:rPr>
          <w:rFonts w:eastAsia="Times New Roman"/>
          <w:lang w:eastAsia="en-AU"/>
        </w:rPr>
        <w:t>.</w:t>
      </w:r>
      <w:r>
        <w:rPr>
          <w:rFonts w:eastAsia="Times New Roman"/>
          <w:lang w:eastAsia="en-AU"/>
        </w:rPr>
        <w:t>’</w:t>
      </w:r>
    </w:p>
    <w:p w14:paraId="036B8C25" w14:textId="77777777" w:rsidR="00D7519C" w:rsidRDefault="00D7519C" w:rsidP="00D7519C">
      <w:pPr>
        <w:pStyle w:val="Quote"/>
        <w:rPr>
          <w:rFonts w:eastAsia="Times New Roman"/>
          <w:lang w:eastAsia="en-AU"/>
        </w:rPr>
      </w:pPr>
      <w:r w:rsidRPr="00D7519C">
        <w:rPr>
          <w:rFonts w:eastAsia="Times New Roman"/>
          <w:lang w:eastAsia="en-AU"/>
        </w:rPr>
        <w:t>– Productivity Commission</w:t>
      </w:r>
      <w:r w:rsidRPr="00FE1EA0">
        <w:rPr>
          <w:rStyle w:val="EndnoteReference"/>
          <w:rFonts w:eastAsia="Times New Roman" w:cstheme="minorHAnsi"/>
          <w:i w:val="0"/>
          <w:lang w:eastAsia="en-AU"/>
        </w:rPr>
        <w:endnoteReference w:id="4"/>
      </w:r>
    </w:p>
    <w:p w14:paraId="4FEC20D6" w14:textId="77777777" w:rsidR="00D7519C" w:rsidRDefault="00D7519C" w:rsidP="00D7519C">
      <w:pPr>
        <w:rPr>
          <w:lang w:eastAsia="en-AU"/>
        </w:rPr>
      </w:pPr>
      <w:r>
        <w:rPr>
          <w:lang w:eastAsia="en-AU"/>
        </w:rPr>
        <w:lastRenderedPageBreak/>
        <w:t>However, the NDIS market is still maturing. Not all participants have been able to exercise choice and control effectively. Some participants are not empowered to negotiate with providers to access supports that meet their needs and preferences.</w:t>
      </w:r>
    </w:p>
    <w:p w14:paraId="30B490D4" w14:textId="77777777" w:rsidR="00D7519C" w:rsidRDefault="00D7519C" w:rsidP="00D7519C">
      <w:pPr>
        <w:rPr>
          <w:lang w:eastAsia="en-AU"/>
        </w:rPr>
      </w:pPr>
      <w:r>
        <w:rPr>
          <w:lang w:eastAsia="en-AU"/>
        </w:rPr>
        <w:t xml:space="preserve">At the same time, service providers have struggled to be responsive to meet the needs of all participants. Some service providers have also reported concerns around financial viability. The 2022 State of the </w:t>
      </w:r>
      <w:r w:rsidR="00987367">
        <w:rPr>
          <w:lang w:eastAsia="en-AU"/>
        </w:rPr>
        <w:t>Disability Sector Report found ‘</w:t>
      </w:r>
      <w:r>
        <w:rPr>
          <w:lang w:eastAsia="en-AU"/>
        </w:rPr>
        <w:t>… pessimism about the operating conditions facing the non-government disability sector has been increasing for a number of years</w:t>
      </w:r>
      <w:r w:rsidR="00987367">
        <w:rPr>
          <w:lang w:eastAsia="en-AU"/>
        </w:rPr>
        <w:t>’</w:t>
      </w:r>
      <w:r w:rsidR="008450D5" w:rsidRPr="008450D5">
        <w:rPr>
          <w:rStyle w:val="CommentTextChar"/>
          <w:rFonts w:eastAsia="Times New Roman"/>
          <w:lang w:eastAsia="en-AU"/>
        </w:rPr>
        <w:t xml:space="preserve"> </w:t>
      </w:r>
      <w:r w:rsidR="008450D5">
        <w:rPr>
          <w:rStyle w:val="EndnoteReference"/>
          <w:rFonts w:eastAsia="Times New Roman"/>
          <w:lang w:eastAsia="en-AU"/>
        </w:rPr>
        <w:endnoteReference w:id="5"/>
      </w:r>
      <w:r w:rsidR="008450D5">
        <w:rPr>
          <w:lang w:eastAsia="en-AU"/>
        </w:rPr>
        <w:t xml:space="preserve"> </w:t>
      </w:r>
      <w:r>
        <w:rPr>
          <w:lang w:eastAsia="en-AU"/>
        </w:rPr>
        <w:t>– with 36% of organisations expecti</w:t>
      </w:r>
      <w:r w:rsidR="008450D5">
        <w:rPr>
          <w:lang w:eastAsia="en-AU"/>
        </w:rPr>
        <w:t>ng to make a loss or deficit in</w:t>
      </w:r>
      <w:r w:rsidR="008450D5">
        <w:rPr>
          <w:lang w:eastAsia="en-AU"/>
        </w:rPr>
        <w:br/>
      </w:r>
      <w:r>
        <w:rPr>
          <w:lang w:eastAsia="en-AU"/>
        </w:rPr>
        <w:t>2022-23, up from 23% in 2021-22.</w:t>
      </w:r>
      <w:r w:rsidR="008450D5">
        <w:rPr>
          <w:rStyle w:val="EndnoteReference"/>
          <w:rFonts w:eastAsia="Times New Roman"/>
          <w:lang w:eastAsia="en-AU"/>
        </w:rPr>
        <w:endnoteReference w:id="6"/>
      </w:r>
      <w:r>
        <w:rPr>
          <w:lang w:eastAsia="en-AU"/>
        </w:rPr>
        <w:t xml:space="preserve"> </w:t>
      </w:r>
    </w:p>
    <w:p w14:paraId="1A24DBC0" w14:textId="77777777" w:rsidR="00D7519C" w:rsidRPr="00D7519C" w:rsidRDefault="00D7519C" w:rsidP="00D7519C">
      <w:pPr>
        <w:rPr>
          <w:lang w:eastAsia="en-AU"/>
        </w:rPr>
      </w:pPr>
      <w:r>
        <w:rPr>
          <w:lang w:eastAsia="en-AU"/>
        </w:rPr>
        <w:t>The challenges faced by participants and service providers are symptomatic of underlying issues in the current approach to delivering NDIS supports (Figure 1).</w:t>
      </w:r>
    </w:p>
    <w:p w14:paraId="130F1A36" w14:textId="77777777" w:rsidR="00BF7FD4" w:rsidRPr="00987367" w:rsidRDefault="00D7519C" w:rsidP="00C53CA3">
      <w:pPr>
        <w:pStyle w:val="Figure"/>
      </w:pPr>
      <w:r w:rsidRPr="00987367">
        <w:t>Poor outcomes for NDIS participants reflect three key underlying issues</w:t>
      </w:r>
    </w:p>
    <w:p w14:paraId="456D4BB4" w14:textId="77777777" w:rsidR="00D7519C" w:rsidRPr="007A5115" w:rsidRDefault="00D7519C" w:rsidP="009D296A">
      <w:pPr>
        <w:pStyle w:val="INFO-S1"/>
      </w:pPr>
      <w:r w:rsidRPr="007A5115">
        <w:t xml:space="preserve">An over-reliance on ‘competition’ as the only </w:t>
      </w:r>
      <w:r w:rsidR="007A5115">
        <w:t>market</w:t>
      </w:r>
      <w:r w:rsidR="007A5115">
        <w:br/>
      </w:r>
      <w:r w:rsidRPr="007A5115">
        <w:t>mechanism to deliver supports</w:t>
      </w:r>
    </w:p>
    <w:p w14:paraId="0CFE1A2D" w14:textId="77777777" w:rsidR="00D7519C" w:rsidRPr="004B19B6" w:rsidRDefault="00D7519C" w:rsidP="009D296A">
      <w:pPr>
        <w:pStyle w:val="INFO-S2"/>
      </w:pPr>
      <w:r w:rsidRPr="00D7519C">
        <w:t>A lack of accessible and ti</w:t>
      </w:r>
      <w:r>
        <w:t xml:space="preserve">mely information, coupled with </w:t>
      </w:r>
      <w:r w:rsidRPr="00D7519C">
        <w:t>unclear navigation and coordination of supports</w:t>
      </w:r>
    </w:p>
    <w:p w14:paraId="0B3EE567" w14:textId="77777777" w:rsidR="00D7519C" w:rsidRDefault="00D7519C" w:rsidP="009D296A">
      <w:pPr>
        <w:pStyle w:val="INFO-S3"/>
      </w:pPr>
      <w:r>
        <w:t xml:space="preserve">Poor market design, where the incentives for providers are </w:t>
      </w:r>
      <w:r w:rsidR="00857915">
        <w:t>not</w:t>
      </w:r>
      <w:r w:rsidR="00857915">
        <w:br/>
      </w:r>
      <w:r>
        <w:t>aligned to the interests of participants and governments</w:t>
      </w:r>
    </w:p>
    <w:p w14:paraId="06F3449D" w14:textId="77777777" w:rsidR="00857915" w:rsidRPr="00E239E6" w:rsidRDefault="00857915" w:rsidP="00857915">
      <w:pPr>
        <w:pStyle w:val="Heading3"/>
      </w:pPr>
      <w:bookmarkStart w:id="53" w:name="_Toc131352079"/>
      <w:bookmarkStart w:id="54" w:name="_Toc131414741"/>
      <w:bookmarkStart w:id="55" w:name="_Toc131502161"/>
      <w:bookmarkStart w:id="56" w:name="_Toc131580657"/>
      <w:bookmarkStart w:id="57" w:name="_Toc131596902"/>
      <w:bookmarkStart w:id="58" w:name="_Toc131602765"/>
      <w:bookmarkStart w:id="59" w:name="_Toc131613586"/>
      <w:bookmarkStart w:id="60" w:name="_Toc131621594"/>
      <w:bookmarkStart w:id="61" w:name="_Toc131631048"/>
      <w:bookmarkStart w:id="62" w:name="_Toc131674144"/>
      <w:bookmarkStart w:id="63" w:name="_Toc131679192"/>
      <w:bookmarkStart w:id="64" w:name="_Toc131682011"/>
      <w:bookmarkStart w:id="65" w:name="_Toc131685018"/>
      <w:bookmarkStart w:id="66" w:name="_Toc131686292"/>
      <w:bookmarkStart w:id="67" w:name="_Toc132205301"/>
      <w:bookmarkStart w:id="68" w:name="_Toc132205411"/>
      <w:bookmarkStart w:id="69" w:name="_Toc132213571"/>
      <w:bookmarkStart w:id="70" w:name="_Toc132217933"/>
      <w:bookmarkStart w:id="71" w:name="_Toc132230938"/>
      <w:bookmarkStart w:id="72" w:name="_Toc132235049"/>
      <w:bookmarkStart w:id="73" w:name="_Toc132371368"/>
      <w:bookmarkStart w:id="74" w:name="_Toc132375315"/>
      <w:bookmarkStart w:id="75" w:name="_Toc132387982"/>
      <w:bookmarkStart w:id="76" w:name="_Toc132389782"/>
      <w:bookmarkStart w:id="77" w:name="_Toc132458017"/>
      <w:bookmarkStart w:id="78" w:name="_Toc132474958"/>
      <w:bookmarkStart w:id="79" w:name="_Toc132620278"/>
      <w:bookmarkStart w:id="80" w:name="_Toc132622465"/>
      <w:bookmarkStart w:id="81" w:name="_Toc132623267"/>
      <w:bookmarkStart w:id="82" w:name="_Toc132624473"/>
      <w:bookmarkStart w:id="83" w:name="_Toc132635184"/>
      <w:bookmarkStart w:id="84" w:name="_Toc132635331"/>
      <w:bookmarkStart w:id="85" w:name="_Toc132635413"/>
      <w:bookmarkStart w:id="86" w:name="_Toc132638377"/>
      <w:bookmarkStart w:id="87" w:name="_Toc134122486"/>
      <w:r w:rsidRPr="00E239E6">
        <w:t>Over-reliance on competition as the only market mechanism</w:t>
      </w:r>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r w:rsidRPr="00E239E6">
        <w:t xml:space="preserve"> </w:t>
      </w:r>
    </w:p>
    <w:p w14:paraId="3D9BE43F" w14:textId="77777777" w:rsidR="00857915" w:rsidRDefault="00857915" w:rsidP="00857915">
      <w:r w:rsidRPr="3DFFC190">
        <w:t>Choice</w:t>
      </w:r>
      <w:r>
        <w:t xml:space="preserve"> and control</w:t>
      </w:r>
      <w:r w:rsidRPr="3DFFC190">
        <w:t xml:space="preserve"> </w:t>
      </w:r>
      <w:r>
        <w:t xml:space="preserve">has been </w:t>
      </w:r>
      <w:r w:rsidRPr="3DFFC190">
        <w:t xml:space="preserve">foundational to the design of the NDIS. </w:t>
      </w:r>
    </w:p>
    <w:p w14:paraId="20901AFB" w14:textId="77777777" w:rsidR="00857915" w:rsidRPr="00ED3B6B" w:rsidRDefault="00857915" w:rsidP="00857915">
      <w:r w:rsidRPr="3DFFC190">
        <w:lastRenderedPageBreak/>
        <w:t>The first decade of the NDIS has been characterised by the assumption that</w:t>
      </w:r>
      <w:r>
        <w:t xml:space="preserve"> pure competition alone could deliver choice in quality services that are fit for individual participant needs and wants. It was also assumed that </w:t>
      </w:r>
      <w:r w:rsidRPr="3DFFC190">
        <w:t>the market for disability services w</w:t>
      </w:r>
      <w:r>
        <w:t>ould</w:t>
      </w:r>
      <w:r w:rsidRPr="3DFFC190">
        <w:t xml:space="preserve"> function well</w:t>
      </w:r>
      <w:r w:rsidRPr="00573A0A">
        <w:t xml:space="preserve"> </w:t>
      </w:r>
      <w:r>
        <w:t>o</w:t>
      </w:r>
      <w:r w:rsidRPr="3DFFC190">
        <w:t xml:space="preserve">nce mature, providing </w:t>
      </w:r>
      <w:r>
        <w:t>all</w:t>
      </w:r>
      <w:r w:rsidRPr="3DFFC190">
        <w:t xml:space="preserve"> participants with a choice of high-quality services. In practice, this has not happened for many participants and supports.</w:t>
      </w:r>
    </w:p>
    <w:p w14:paraId="5367DDB5" w14:textId="77777777" w:rsidR="00857915" w:rsidRDefault="00857915" w:rsidP="00857915">
      <w:r>
        <w:t xml:space="preserve">Thin markets – where the number of providers or participants is too small to support the competitive provision of services, or to support any provision at all – have left some participants with limited, or no, access to supports or certain types of supports. </w:t>
      </w:r>
    </w:p>
    <w:p w14:paraId="52B15061" w14:textId="77777777" w:rsidR="00857915" w:rsidRDefault="00857915" w:rsidP="00857915">
      <w:r>
        <w:t xml:space="preserve">Under the current market-based approach, some participants across Australia are not accessing supports despite having the budget to do so. </w:t>
      </w:r>
      <w:r w:rsidDel="002B01D9">
        <w:t>This is most stark</w:t>
      </w:r>
      <w:r>
        <w:t xml:space="preserve"> in remote and very remote communities where over one in three mature participants (who have been in the NDIS for over a year) are not accessing daily activity supports, and over one in four are not accessing therapy supports that assist with building skills and independence. </w:t>
      </w:r>
    </w:p>
    <w:p w14:paraId="77657B17" w14:textId="77777777" w:rsidR="00857915" w:rsidRPr="005E74D2" w:rsidRDefault="00857915" w:rsidP="00857915">
      <w:pPr>
        <w:rPr>
          <w:rFonts w:eastAsia="Times New Roman"/>
          <w:lang w:eastAsia="en-AU"/>
        </w:rPr>
      </w:pPr>
      <w:r w:rsidRPr="00B77B67">
        <w:t>Competition between multiple service providers is not always possible</w:t>
      </w:r>
      <w:r>
        <w:t xml:space="preserve"> and may not provide participants with real choice in quality supports</w:t>
      </w:r>
      <w:r w:rsidRPr="00B77B67">
        <w:t>.</w:t>
      </w:r>
      <w:r>
        <w:t xml:space="preserve"> T</w:t>
      </w:r>
      <w:r w:rsidRPr="3DFFC190">
        <w:t xml:space="preserve">here can be high </w:t>
      </w:r>
      <w:r>
        <w:t xml:space="preserve">‘switching </w:t>
      </w:r>
      <w:r w:rsidRPr="3DFFC190">
        <w:t>cost</w:t>
      </w:r>
      <w:r>
        <w:t xml:space="preserve">s’ </w:t>
      </w:r>
      <w:r w:rsidRPr="3DFFC190">
        <w:t xml:space="preserve">for participants to </w:t>
      </w:r>
      <w:r>
        <w:t>change</w:t>
      </w:r>
      <w:r w:rsidRPr="3DFFC190">
        <w:t xml:space="preserve"> provider</w:t>
      </w:r>
      <w:r>
        <w:t>s. P</w:t>
      </w:r>
      <w:r w:rsidRPr="3DFFC190">
        <w:t>articipants may be slow to switch between providers when dissatisfied. In this case, market ‘competition’ will be less effective</w:t>
      </w:r>
      <w:r>
        <w:t>.</w:t>
      </w:r>
      <w:r w:rsidRPr="3DFFC190">
        <w:t xml:space="preserve"> </w:t>
      </w:r>
      <w:r>
        <w:t>O</w:t>
      </w:r>
      <w:r w:rsidRPr="3DFFC190">
        <w:t xml:space="preserve">ther mechanisms </w:t>
      </w:r>
      <w:r>
        <w:t xml:space="preserve">(including </w:t>
      </w:r>
      <w:r w:rsidRPr="00162193">
        <w:t>reliable, timely and effective information</w:t>
      </w:r>
      <w:r>
        <w:t xml:space="preserve"> provision</w:t>
      </w:r>
      <w:r w:rsidRPr="00162193">
        <w:t xml:space="preserve">, effective </w:t>
      </w:r>
      <w:r>
        <w:t>navigation and coordination support,</w:t>
      </w:r>
      <w:r w:rsidRPr="00162193">
        <w:t xml:space="preserve"> and</w:t>
      </w:r>
      <w:r>
        <w:t xml:space="preserve"> proportionate</w:t>
      </w:r>
      <w:r w:rsidRPr="00162193">
        <w:t xml:space="preserve"> safeguard</w:t>
      </w:r>
      <w:r>
        <w:t>ing</w:t>
      </w:r>
      <w:r w:rsidRPr="00162193">
        <w:t xml:space="preserve">) </w:t>
      </w:r>
      <w:r w:rsidRPr="3DFFC190">
        <w:t xml:space="preserve">may be needed to ensure </w:t>
      </w:r>
      <w:r>
        <w:t>the delivery of safe and quality supports</w:t>
      </w:r>
      <w:r w:rsidRPr="3DFFC190">
        <w:t>.</w:t>
      </w:r>
    </w:p>
    <w:p w14:paraId="0B302A1A" w14:textId="77777777" w:rsidR="00857915" w:rsidRDefault="00857915" w:rsidP="00857915">
      <w:r>
        <w:t>T</w:t>
      </w:r>
      <w:r w:rsidRPr="00B77B67">
        <w:t xml:space="preserve">he NDIS also needs contestable arrangements to </w:t>
      </w:r>
      <w:r w:rsidRPr="00E239E6" w:rsidDel="00132BA7">
        <w:t>ensure providers are responsive to participants</w:t>
      </w:r>
      <w:r>
        <w:t xml:space="preserve"> in remote and First Nations communities where the </w:t>
      </w:r>
      <w:r w:rsidRPr="00D76866">
        <w:t>conditions for strong competition are not met</w:t>
      </w:r>
      <w:r w:rsidRPr="00E239E6" w:rsidDel="00132BA7">
        <w:t>.</w:t>
      </w:r>
      <w:r>
        <w:t xml:space="preserve"> Contestable markets </w:t>
      </w:r>
      <w:r w:rsidRPr="00D54358">
        <w:t xml:space="preserve">(including one </w:t>
      </w:r>
      <w:r w:rsidRPr="00D54358">
        <w:lastRenderedPageBreak/>
        <w:t>with a single active provider) can help ensure providers are responsive to participants where there is a credible threat of replacement</w:t>
      </w:r>
      <w:r>
        <w:t xml:space="preserve">. </w:t>
      </w:r>
      <w:r w:rsidRPr="00D76866">
        <w:t>Contestable can be applied at different levels in the market</w:t>
      </w:r>
      <w:r>
        <w:t>:</w:t>
      </w:r>
    </w:p>
    <w:p w14:paraId="51CBEDF4" w14:textId="77777777" w:rsidR="00857915" w:rsidRDefault="00857915" w:rsidP="00857915">
      <w:pPr>
        <w:pStyle w:val="Listbullets-Level1"/>
      </w:pPr>
      <w:r w:rsidRPr="00D76866">
        <w:t xml:space="preserve">at the </w:t>
      </w:r>
      <w:r>
        <w:t>‘</w:t>
      </w:r>
      <w:r w:rsidRPr="00D76866">
        <w:t>service level</w:t>
      </w:r>
      <w:r>
        <w:t>’ for a group of participants</w:t>
      </w:r>
    </w:p>
    <w:p w14:paraId="1774808F" w14:textId="77777777" w:rsidR="00857915" w:rsidRDefault="00857915" w:rsidP="00857915">
      <w:pPr>
        <w:pStyle w:val="Listbullets-Level1"/>
      </w:pPr>
      <w:r w:rsidRPr="00D76866">
        <w:t xml:space="preserve">for a </w:t>
      </w:r>
      <w:r>
        <w:t>‘</w:t>
      </w:r>
      <w:r w:rsidRPr="00D76866">
        <w:t>bundle</w:t>
      </w:r>
      <w:r>
        <w:t>’</w:t>
      </w:r>
      <w:r w:rsidRPr="00D76866">
        <w:t xml:space="preserve"> or </w:t>
      </w:r>
      <w:r>
        <w:t>‘</w:t>
      </w:r>
      <w:r w:rsidRPr="00D76866">
        <w:t>wrap around</w:t>
      </w:r>
      <w:r>
        <w:t>’</w:t>
      </w:r>
      <w:r w:rsidRPr="00D76866">
        <w:t xml:space="preserve"> supports</w:t>
      </w:r>
      <w:r>
        <w:t xml:space="preserve"> for an individual or group of participants</w:t>
      </w:r>
    </w:p>
    <w:p w14:paraId="6B74BC66" w14:textId="77777777" w:rsidR="00857915" w:rsidRDefault="00857915" w:rsidP="00857915">
      <w:pPr>
        <w:pStyle w:val="Listbullets-Level1"/>
      </w:pPr>
      <w:r w:rsidRPr="00D76866">
        <w:t xml:space="preserve">at the </w:t>
      </w:r>
      <w:r>
        <w:t>‘</w:t>
      </w:r>
      <w:r w:rsidRPr="00D76866">
        <w:t>whole of market</w:t>
      </w:r>
      <w:r>
        <w:t>’</w:t>
      </w:r>
      <w:r w:rsidRPr="00D76866">
        <w:t xml:space="preserve"> level</w:t>
      </w:r>
      <w:r>
        <w:t xml:space="preserve"> for a community (such as, in remote communities)</w:t>
      </w:r>
      <w:r w:rsidRPr="00D76866">
        <w:t>.</w:t>
      </w:r>
      <w:r>
        <w:t xml:space="preserve"> </w:t>
      </w:r>
    </w:p>
    <w:p w14:paraId="786C75B6" w14:textId="77777777" w:rsidR="00857915" w:rsidRDefault="00857915" w:rsidP="00857915">
      <w:pPr>
        <w:rPr>
          <w:rFonts w:eastAsia="Times New Roman"/>
          <w:lang w:eastAsia="en-AU"/>
        </w:rPr>
      </w:pPr>
      <w:r>
        <w:rPr>
          <w:rFonts w:eastAsia="Times New Roman"/>
          <w:lang w:eastAsia="en-AU"/>
        </w:rPr>
        <w:t>S</w:t>
      </w:r>
      <w:r w:rsidRPr="3DFFC190">
        <w:rPr>
          <w:rFonts w:eastAsia="Times New Roman"/>
          <w:lang w:eastAsia="en-AU"/>
        </w:rPr>
        <w:t xml:space="preserve">ome markets </w:t>
      </w:r>
      <w:r>
        <w:rPr>
          <w:rFonts w:eastAsia="Times New Roman"/>
          <w:lang w:eastAsia="en-AU"/>
        </w:rPr>
        <w:t>for group supports (</w:t>
      </w:r>
      <w:r w:rsidRPr="3DFFC190">
        <w:rPr>
          <w:rFonts w:eastAsia="Times New Roman"/>
          <w:lang w:eastAsia="en-AU"/>
        </w:rPr>
        <w:t>such as</w:t>
      </w:r>
      <w:r w:rsidDel="00062996">
        <w:rPr>
          <w:rFonts w:eastAsia="Times New Roman"/>
          <w:lang w:eastAsia="en-AU"/>
        </w:rPr>
        <w:t>,</w:t>
      </w:r>
      <w:r>
        <w:rPr>
          <w:rFonts w:eastAsia="Times New Roman"/>
          <w:lang w:eastAsia="en-AU"/>
        </w:rPr>
        <w:t xml:space="preserve"> transport</w:t>
      </w:r>
      <w:r>
        <w:rPr>
          <w:rStyle w:val="EndnoteReference"/>
          <w:rFonts w:eastAsia="Times New Roman"/>
          <w:lang w:eastAsia="en-AU"/>
        </w:rPr>
        <w:endnoteReference w:id="7"/>
      </w:r>
      <w:r>
        <w:rPr>
          <w:rFonts w:eastAsia="Times New Roman"/>
          <w:lang w:eastAsia="en-AU"/>
        </w:rPr>
        <w:t xml:space="preserve"> or community participation) </w:t>
      </w:r>
      <w:r w:rsidRPr="3DFFC190">
        <w:rPr>
          <w:rFonts w:eastAsia="Times New Roman"/>
          <w:lang w:eastAsia="en-AU"/>
        </w:rPr>
        <w:t xml:space="preserve">may require governments to help participants pool their funding to meet their collective needs. </w:t>
      </w:r>
      <w:r>
        <w:rPr>
          <w:rFonts w:eastAsia="Times New Roman"/>
          <w:lang w:eastAsia="en-AU"/>
        </w:rPr>
        <w:t xml:space="preserve">When done well, delivering supports </w:t>
      </w:r>
      <w:r w:rsidRPr="00573A0A">
        <w:rPr>
          <w:rFonts w:eastAsia="Times New Roman"/>
          <w:lang w:eastAsia="en-AU"/>
        </w:rPr>
        <w:t xml:space="preserve">to meet </w:t>
      </w:r>
      <w:r>
        <w:rPr>
          <w:rFonts w:eastAsia="Times New Roman"/>
          <w:lang w:eastAsia="en-AU"/>
        </w:rPr>
        <w:t xml:space="preserve">the </w:t>
      </w:r>
      <w:r w:rsidRPr="00573A0A">
        <w:rPr>
          <w:rFonts w:eastAsia="Times New Roman"/>
          <w:lang w:eastAsia="en-AU"/>
        </w:rPr>
        <w:t xml:space="preserve">needs of </w:t>
      </w:r>
      <w:r>
        <w:rPr>
          <w:rFonts w:eastAsia="Times New Roman"/>
          <w:lang w:eastAsia="en-AU"/>
        </w:rPr>
        <w:t>the</w:t>
      </w:r>
      <w:r w:rsidRPr="00573A0A">
        <w:rPr>
          <w:rFonts w:eastAsia="Times New Roman"/>
          <w:lang w:eastAsia="en-AU"/>
        </w:rPr>
        <w:t xml:space="preserve"> group </w:t>
      </w:r>
      <w:r>
        <w:rPr>
          <w:rFonts w:eastAsia="Times New Roman"/>
          <w:lang w:eastAsia="en-AU"/>
        </w:rPr>
        <w:t>could also</w:t>
      </w:r>
      <w:r w:rsidRPr="00573A0A">
        <w:rPr>
          <w:rFonts w:eastAsia="Times New Roman"/>
          <w:lang w:eastAsia="en-AU"/>
        </w:rPr>
        <w:t xml:space="preserve"> </w:t>
      </w:r>
      <w:r>
        <w:rPr>
          <w:rFonts w:eastAsia="Times New Roman"/>
          <w:lang w:eastAsia="en-AU"/>
        </w:rPr>
        <w:t xml:space="preserve">help build the social capital of participants and </w:t>
      </w:r>
      <w:r w:rsidRPr="00573A0A">
        <w:rPr>
          <w:rFonts w:eastAsia="Times New Roman"/>
          <w:lang w:eastAsia="en-AU"/>
        </w:rPr>
        <w:t>benefit the broader community.</w:t>
      </w:r>
    </w:p>
    <w:p w14:paraId="73ECAD3E" w14:textId="77777777" w:rsidR="00857915" w:rsidRPr="00F82B6A" w:rsidRDefault="00857915" w:rsidP="00857915">
      <w:r>
        <w:t xml:space="preserve">The focus on </w:t>
      </w:r>
      <w:r w:rsidDel="00062996">
        <w:t>competition</w:t>
      </w:r>
      <w:r>
        <w:t>, however, has not supported a systematic approach to coordinating</w:t>
      </w:r>
      <w:r w:rsidRPr="00D76866">
        <w:t xml:space="preserve"> or ‘pool</w:t>
      </w:r>
      <w:r>
        <w:t>ing</w:t>
      </w:r>
      <w:r w:rsidRPr="00D76866">
        <w:t>’ demand across multiple participants to attract providers who are willing to deliver a service for that market.</w:t>
      </w:r>
    </w:p>
    <w:p w14:paraId="59BF138A" w14:textId="77777777" w:rsidR="00857915" w:rsidRPr="00857915" w:rsidRDefault="00857915" w:rsidP="00857915">
      <w:pPr>
        <w:pStyle w:val="Quote"/>
      </w:pPr>
      <w:r>
        <w:rPr>
          <w:rFonts w:eastAsia="Times New Roman"/>
          <w:lang w:eastAsia="en-AU"/>
        </w:rPr>
        <w:t>‘</w:t>
      </w:r>
      <w:r w:rsidRPr="3DFFC190">
        <w:rPr>
          <w:rFonts w:eastAsia="Times New Roman"/>
          <w:lang w:eastAsia="en-AU"/>
        </w:rPr>
        <w:t xml:space="preserve">If a provider needs to </w:t>
      </w:r>
      <w:r w:rsidRPr="00857915">
        <w:t xml:space="preserve">travel a distance, they should try and see other participants in </w:t>
      </w:r>
      <w:r>
        <w:t>the area too to share the cost.’</w:t>
      </w:r>
    </w:p>
    <w:p w14:paraId="125D8441" w14:textId="77777777" w:rsidR="00857915" w:rsidRPr="00E239E6" w:rsidRDefault="00857915" w:rsidP="00857915">
      <w:pPr>
        <w:pStyle w:val="Quote"/>
        <w:rPr>
          <w:rFonts w:eastAsia="Times New Roman" w:cstheme="minorHAnsi"/>
          <w:i w:val="0"/>
          <w:lang w:eastAsia="en-AU"/>
        </w:rPr>
      </w:pPr>
      <w:r w:rsidRPr="00857915">
        <w:t>– Anonym</w:t>
      </w:r>
      <w:r w:rsidRPr="00E239E6">
        <w:rPr>
          <w:rFonts w:eastAsia="Times New Roman" w:cstheme="minorHAnsi"/>
          <w:i w:val="0"/>
          <w:lang w:eastAsia="en-AU"/>
        </w:rPr>
        <w:t xml:space="preserve">ous, Carer of NDIS </w:t>
      </w:r>
      <w:r>
        <w:rPr>
          <w:rFonts w:eastAsia="Times New Roman" w:cstheme="minorHAnsi"/>
          <w:i w:val="0"/>
          <w:lang w:eastAsia="en-AU"/>
        </w:rPr>
        <w:t>p</w:t>
      </w:r>
      <w:r w:rsidRPr="00E239E6">
        <w:rPr>
          <w:rFonts w:eastAsia="Times New Roman" w:cstheme="minorHAnsi"/>
          <w:i w:val="0"/>
          <w:lang w:eastAsia="en-AU"/>
        </w:rPr>
        <w:t xml:space="preserve">articipant </w:t>
      </w:r>
      <w:r>
        <w:rPr>
          <w:rFonts w:eastAsia="Times New Roman" w:cstheme="minorHAnsi"/>
          <w:i w:val="0"/>
          <w:lang w:eastAsia="en-AU"/>
        </w:rPr>
        <w:t>&amp;</w:t>
      </w:r>
      <w:r w:rsidRPr="00532D65">
        <w:rPr>
          <w:rFonts w:eastAsia="Times New Roman" w:cstheme="minorHAnsi"/>
          <w:i w:val="0"/>
          <w:lang w:eastAsia="en-AU"/>
        </w:rPr>
        <w:t xml:space="preserve"> NDIS </w:t>
      </w:r>
      <w:r>
        <w:rPr>
          <w:rFonts w:eastAsia="Times New Roman" w:cstheme="minorHAnsi"/>
          <w:i w:val="0"/>
          <w:lang w:eastAsia="en-AU"/>
        </w:rPr>
        <w:t>p</w:t>
      </w:r>
      <w:r w:rsidRPr="00532D65">
        <w:rPr>
          <w:rFonts w:eastAsia="Times New Roman" w:cstheme="minorHAnsi"/>
          <w:i w:val="0"/>
          <w:lang w:eastAsia="en-AU"/>
        </w:rPr>
        <w:t>rovider</w:t>
      </w:r>
      <w:r w:rsidRPr="00E239E6">
        <w:rPr>
          <w:rStyle w:val="EndnoteReference"/>
          <w:rFonts w:eastAsia="Times New Roman" w:cstheme="minorHAnsi"/>
          <w:i w:val="0"/>
          <w:lang w:eastAsia="en-AU"/>
        </w:rPr>
        <w:endnoteReference w:id="8"/>
      </w:r>
    </w:p>
    <w:p w14:paraId="28A77367" w14:textId="77777777" w:rsidR="00857915" w:rsidRPr="00F82B6A" w:rsidRDefault="00857915" w:rsidP="00857915">
      <w:pPr>
        <w:rPr>
          <w:rFonts w:eastAsia="Times New Roman" w:cstheme="minorHAnsi"/>
          <w:lang w:eastAsia="en-AU"/>
        </w:rPr>
      </w:pPr>
      <w:r>
        <w:rPr>
          <w:rFonts w:eastAsia="Times New Roman"/>
          <w:lang w:eastAsia="en-AU"/>
        </w:rPr>
        <w:t xml:space="preserve">While the NDIA has recently started to explore ways to pool participant funding through </w:t>
      </w:r>
      <w:r w:rsidRPr="002437BA">
        <w:t>Coordinated Funding Proposals (CFP)</w:t>
      </w:r>
      <w:r>
        <w:t>,</w:t>
      </w:r>
      <w:r>
        <w:rPr>
          <w:rStyle w:val="EndnoteReference"/>
        </w:rPr>
        <w:endnoteReference w:id="9"/>
      </w:r>
      <w:r>
        <w:rPr>
          <w:rFonts w:eastAsia="Times New Roman"/>
          <w:lang w:eastAsia="en-AU"/>
        </w:rPr>
        <w:t xml:space="preserve"> much more needs to be done.</w:t>
      </w:r>
    </w:p>
    <w:p w14:paraId="3B02FC54" w14:textId="77777777" w:rsidR="00857915" w:rsidRDefault="00857915" w:rsidP="00857915">
      <w:pPr>
        <w:rPr>
          <w:rFonts w:eastAsia="Times New Roman"/>
          <w:lang w:eastAsia="en-AU"/>
        </w:rPr>
      </w:pPr>
      <w:r>
        <w:rPr>
          <w:rFonts w:eastAsia="Times New Roman" w:cstheme="minorHAnsi"/>
          <w:lang w:eastAsia="en-AU"/>
        </w:rPr>
        <w:t>The</w:t>
      </w:r>
      <w:r>
        <w:rPr>
          <w:rFonts w:eastAsia="Times New Roman"/>
          <w:lang w:eastAsia="en-AU"/>
        </w:rPr>
        <w:t xml:space="preserve"> focus on competition also appears to be eroding the collaboration between disability service providers who often need to work together to provide care coordination.</w:t>
      </w:r>
      <w:r w:rsidRPr="00F66A92">
        <w:t xml:space="preserve"> </w:t>
      </w:r>
      <w:r>
        <w:rPr>
          <w:rFonts w:eastAsia="Times New Roman"/>
          <w:lang w:eastAsia="en-AU"/>
        </w:rPr>
        <w:t>The current approach is hindering knowledge sharing and collaborative working.</w:t>
      </w:r>
    </w:p>
    <w:p w14:paraId="7C96E80C" w14:textId="77777777" w:rsidR="00857915" w:rsidRPr="00857915" w:rsidRDefault="00857915" w:rsidP="00857915">
      <w:pPr>
        <w:pStyle w:val="Quote"/>
      </w:pPr>
      <w:r>
        <w:rPr>
          <w:rFonts w:eastAsia="Times New Roman"/>
          <w:lang w:eastAsia="en-AU"/>
        </w:rPr>
        <w:t xml:space="preserve">‘… in </w:t>
      </w:r>
      <w:r w:rsidRPr="001975B1">
        <w:rPr>
          <w:rFonts w:eastAsia="Times New Roman"/>
          <w:lang w:eastAsia="en-AU"/>
        </w:rPr>
        <w:t xml:space="preserve">this early stage of </w:t>
      </w:r>
      <w:r w:rsidRPr="00857915">
        <w:t>NDIS roll out service providers still perceived tha</w:t>
      </w:r>
      <w:r>
        <w:t>t</w:t>
      </w:r>
      <w:r>
        <w:br/>
      </w:r>
      <w:r w:rsidRPr="00857915">
        <w:lastRenderedPageBreak/>
        <w:t xml:space="preserve">the historical collaborative relationships of the past were largely being maintained. However there was also acknowledgement that </w:t>
      </w:r>
      <w:r w:rsidRPr="00857915">
        <w:rPr>
          <w:b/>
          <w:color w:val="8F578F" w:themeColor="text2" w:themeShade="BF"/>
        </w:rPr>
        <w:t>a competitive environment was emerging and that this was already having some negative impacts on the ways in which information was being shared between organisations and the way staff were able to manage their time.</w:t>
      </w:r>
      <w:r w:rsidRPr="00857915">
        <w:t xml:space="preserve"> These impacts have the potential to effect care coordination as this has traditionally relied upon integrated service</w:t>
      </w:r>
      <w:r>
        <w:t>s which are able to collaborate</w:t>
      </w:r>
      <w:r>
        <w:br/>
      </w:r>
      <w:r w:rsidRPr="00857915">
        <w:t>and share information on clients.</w:t>
      </w:r>
      <w:r>
        <w:t>’</w:t>
      </w:r>
    </w:p>
    <w:p w14:paraId="445103C7" w14:textId="77777777" w:rsidR="00857915" w:rsidRDefault="00857915" w:rsidP="00857915">
      <w:pPr>
        <w:pStyle w:val="Quote"/>
        <w:rPr>
          <w:rFonts w:eastAsia="Times New Roman"/>
          <w:lang w:eastAsia="en-AU"/>
        </w:rPr>
      </w:pPr>
      <w:r w:rsidRPr="00857915">
        <w:t>– Centre f</w:t>
      </w:r>
      <w:r w:rsidRPr="005C2509">
        <w:rPr>
          <w:rFonts w:eastAsia="Times New Roman"/>
          <w:lang w:eastAsia="en-AU"/>
        </w:rPr>
        <w:t>or Social Impact, UNSW Sydney</w:t>
      </w:r>
      <w:r>
        <w:rPr>
          <w:rStyle w:val="EndnoteReference"/>
          <w:rFonts w:eastAsia="Times New Roman"/>
          <w:lang w:eastAsia="en-AU"/>
        </w:rPr>
        <w:endnoteReference w:id="10"/>
      </w:r>
    </w:p>
    <w:p w14:paraId="730AC707" w14:textId="77777777" w:rsidR="00857915" w:rsidRDefault="00857915" w:rsidP="00857915">
      <w:pPr>
        <w:rPr>
          <w:rFonts w:eastAsia="Times New Roman"/>
          <w:lang w:eastAsia="en-AU"/>
        </w:rPr>
      </w:pPr>
      <w:r>
        <w:rPr>
          <w:rFonts w:eastAsia="Times New Roman"/>
          <w:lang w:eastAsia="en-AU"/>
        </w:rPr>
        <w:t xml:space="preserve">While a few communities of practice have emerged, they have not been enough to drive quality or innovative service provision. </w:t>
      </w:r>
    </w:p>
    <w:p w14:paraId="7F823A4B" w14:textId="77777777" w:rsidR="00857915" w:rsidRPr="00E239E6" w:rsidRDefault="00857915" w:rsidP="00857915">
      <w:pPr>
        <w:pStyle w:val="Heading3"/>
        <w:rPr>
          <w:color w:val="092B57" w:themeColor="accent6"/>
        </w:rPr>
      </w:pPr>
      <w:bookmarkStart w:id="88" w:name="_Toc131352080"/>
      <w:bookmarkStart w:id="89" w:name="_Toc131414742"/>
      <w:bookmarkStart w:id="90" w:name="_Toc131502162"/>
      <w:bookmarkStart w:id="91" w:name="_Toc131580658"/>
      <w:bookmarkStart w:id="92" w:name="_Toc131596903"/>
      <w:bookmarkStart w:id="93" w:name="_Toc131602766"/>
      <w:bookmarkStart w:id="94" w:name="_Toc131613587"/>
      <w:bookmarkStart w:id="95" w:name="_Toc131621595"/>
      <w:bookmarkStart w:id="96" w:name="_Toc131631049"/>
      <w:bookmarkStart w:id="97" w:name="_Toc131674145"/>
      <w:bookmarkStart w:id="98" w:name="_Toc131679193"/>
      <w:bookmarkStart w:id="99" w:name="_Toc131682012"/>
      <w:bookmarkStart w:id="100" w:name="_Toc131685019"/>
      <w:bookmarkStart w:id="101" w:name="_Toc131686293"/>
      <w:bookmarkStart w:id="102" w:name="_Toc132205302"/>
      <w:bookmarkStart w:id="103" w:name="_Toc132205412"/>
      <w:bookmarkStart w:id="104" w:name="_Toc132213572"/>
      <w:bookmarkStart w:id="105" w:name="_Toc132217934"/>
      <w:bookmarkStart w:id="106" w:name="_Toc132230939"/>
      <w:bookmarkStart w:id="107" w:name="_Toc132235050"/>
      <w:bookmarkStart w:id="108" w:name="_Toc132371369"/>
      <w:bookmarkStart w:id="109" w:name="_Toc132375316"/>
      <w:bookmarkStart w:id="110" w:name="_Toc132387983"/>
      <w:bookmarkStart w:id="111" w:name="_Toc132389783"/>
      <w:bookmarkStart w:id="112" w:name="_Toc132458018"/>
      <w:bookmarkStart w:id="113" w:name="_Toc132474959"/>
      <w:bookmarkStart w:id="114" w:name="_Toc132620279"/>
      <w:bookmarkStart w:id="115" w:name="_Toc132622466"/>
      <w:bookmarkStart w:id="116" w:name="_Toc132623268"/>
      <w:bookmarkStart w:id="117" w:name="_Toc132624474"/>
      <w:bookmarkStart w:id="118" w:name="_Toc132635185"/>
      <w:bookmarkStart w:id="119" w:name="_Toc132635332"/>
      <w:bookmarkStart w:id="120" w:name="_Toc132635414"/>
      <w:bookmarkStart w:id="121" w:name="_Toc132638378"/>
      <w:bookmarkStart w:id="122" w:name="_Toc134122487"/>
      <w:r w:rsidRPr="00E239E6">
        <w:t>A lack of accessible and timely information coupled with unclear navigation and coordination of supports</w:t>
      </w:r>
      <w:bookmarkStart w:id="123" w:name="_Toc129966516"/>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p>
    <w:p w14:paraId="42035F09" w14:textId="77777777" w:rsidR="00857915" w:rsidRDefault="00857915" w:rsidP="00857915">
      <w:pPr>
        <w:rPr>
          <w:rFonts w:eastAsia="Times New Roman"/>
          <w:lang w:eastAsia="en-AU"/>
        </w:rPr>
      </w:pPr>
      <w:r w:rsidRPr="3DFFC190">
        <w:rPr>
          <w:rFonts w:eastAsia="Times New Roman"/>
          <w:lang w:eastAsia="en-AU"/>
        </w:rPr>
        <w:t xml:space="preserve">For NDIS markets to function well, participants need </w:t>
      </w:r>
      <w:r>
        <w:rPr>
          <w:rFonts w:eastAsia="Times New Roman"/>
          <w:lang w:eastAsia="en-AU"/>
        </w:rPr>
        <w:t xml:space="preserve">clear and accessible information </w:t>
      </w:r>
      <w:r w:rsidRPr="3DFFC190">
        <w:rPr>
          <w:rFonts w:eastAsia="Times New Roman"/>
          <w:lang w:eastAsia="en-AU"/>
        </w:rPr>
        <w:t>to act as informed consumers</w:t>
      </w:r>
      <w:r>
        <w:rPr>
          <w:rFonts w:eastAsia="Times New Roman"/>
          <w:lang w:eastAsia="en-AU"/>
        </w:rPr>
        <w:t>. Information on what supports are available, what these cost, and what good looks like is critical.</w:t>
      </w:r>
    </w:p>
    <w:p w14:paraId="1661A5A1" w14:textId="77777777" w:rsidR="00857915" w:rsidRDefault="00857915" w:rsidP="00857915">
      <w:pPr>
        <w:rPr>
          <w:rFonts w:eastAsia="Times New Roman"/>
          <w:lang w:eastAsia="en-AU"/>
        </w:rPr>
      </w:pPr>
      <w:r w:rsidRPr="3DFFC190">
        <w:rPr>
          <w:rFonts w:eastAsia="Times New Roman"/>
          <w:lang w:eastAsia="en-AU"/>
        </w:rPr>
        <w:t>NDIS p</w:t>
      </w:r>
      <w:r>
        <w:rPr>
          <w:rFonts w:eastAsia="Times New Roman"/>
          <w:lang w:eastAsia="en-AU"/>
        </w:rPr>
        <w:t>r</w:t>
      </w:r>
      <w:r w:rsidRPr="3DFFC190">
        <w:rPr>
          <w:rFonts w:eastAsia="Times New Roman"/>
          <w:lang w:eastAsia="en-AU"/>
        </w:rPr>
        <w:t xml:space="preserve">oviders </w:t>
      </w:r>
      <w:r>
        <w:rPr>
          <w:rFonts w:eastAsia="Times New Roman"/>
          <w:lang w:eastAsia="en-AU"/>
        </w:rPr>
        <w:t xml:space="preserve">also </w:t>
      </w:r>
      <w:r w:rsidRPr="3DFFC190">
        <w:rPr>
          <w:rFonts w:eastAsia="Times New Roman"/>
          <w:lang w:eastAsia="en-AU"/>
        </w:rPr>
        <w:t xml:space="preserve">need </w:t>
      </w:r>
      <w:r>
        <w:rPr>
          <w:rFonts w:eastAsia="Times New Roman"/>
          <w:lang w:eastAsia="en-AU"/>
        </w:rPr>
        <w:t>sufficient</w:t>
      </w:r>
      <w:r w:rsidRPr="3DFFC190">
        <w:rPr>
          <w:rFonts w:eastAsia="Times New Roman"/>
          <w:lang w:eastAsia="en-AU"/>
        </w:rPr>
        <w:t xml:space="preserve"> </w:t>
      </w:r>
      <w:r>
        <w:rPr>
          <w:rFonts w:eastAsia="Times New Roman"/>
          <w:lang w:eastAsia="en-AU"/>
        </w:rPr>
        <w:t xml:space="preserve">information to respond appropriately to what </w:t>
      </w:r>
      <w:r w:rsidRPr="3DFFC190">
        <w:rPr>
          <w:rFonts w:eastAsia="Times New Roman"/>
          <w:lang w:eastAsia="en-AU"/>
        </w:rPr>
        <w:t>participants need</w:t>
      </w:r>
      <w:r>
        <w:rPr>
          <w:rFonts w:eastAsia="Times New Roman"/>
          <w:lang w:eastAsia="en-AU"/>
        </w:rPr>
        <w:t xml:space="preserve"> and want</w:t>
      </w:r>
      <w:r w:rsidRPr="3DFFC190">
        <w:rPr>
          <w:rFonts w:eastAsia="Times New Roman"/>
          <w:lang w:eastAsia="en-AU"/>
        </w:rPr>
        <w:t>.</w:t>
      </w:r>
      <w:r>
        <w:rPr>
          <w:rFonts w:eastAsia="Times New Roman"/>
          <w:lang w:eastAsia="en-AU"/>
        </w:rPr>
        <w:t xml:space="preserve"> Information is needed for providers to:</w:t>
      </w:r>
    </w:p>
    <w:p w14:paraId="3B1BBE4C" w14:textId="77777777" w:rsidR="00857915" w:rsidRPr="00744813" w:rsidRDefault="00857915" w:rsidP="002D26D4">
      <w:pPr>
        <w:pStyle w:val="Listbullets-Level1"/>
      </w:pPr>
      <w:r w:rsidRPr="00744813">
        <w:t>compare and benchmark their service offerings with others’</w:t>
      </w:r>
    </w:p>
    <w:p w14:paraId="326034EA" w14:textId="77777777" w:rsidR="00857915" w:rsidRPr="00744813" w:rsidRDefault="00857915" w:rsidP="002D26D4">
      <w:pPr>
        <w:pStyle w:val="Listbullets-Level1"/>
      </w:pPr>
      <w:r w:rsidRPr="00744813">
        <w:t>learn from each other for ongoing improvement and innovation</w:t>
      </w:r>
    </w:p>
    <w:p w14:paraId="2FDABD8A" w14:textId="77777777" w:rsidR="00857915" w:rsidRPr="00E239E6" w:rsidRDefault="00857915" w:rsidP="002D26D4">
      <w:pPr>
        <w:pStyle w:val="Listbullets-Level1"/>
        <w:rPr>
          <w:rFonts w:eastAsia="Times New Roman"/>
          <w:lang w:eastAsia="en-AU"/>
        </w:rPr>
      </w:pPr>
      <w:r w:rsidRPr="00744813">
        <w:t>develop an evidence base for what works</w:t>
      </w:r>
      <w:r>
        <w:t xml:space="preserve"> and what doesn’t work</w:t>
      </w:r>
      <w:r w:rsidRPr="3DFFC190">
        <w:rPr>
          <w:rFonts w:eastAsia="Times New Roman"/>
          <w:lang w:eastAsia="en-AU"/>
        </w:rPr>
        <w:t>.</w:t>
      </w:r>
    </w:p>
    <w:p w14:paraId="75A62A60" w14:textId="77777777" w:rsidR="00857915" w:rsidRPr="00E239E6" w:rsidRDefault="00857915" w:rsidP="00857915">
      <w:pPr>
        <w:pStyle w:val="Heading4"/>
        <w:rPr>
          <w:rFonts w:eastAsia="Times New Roman"/>
          <w:lang w:eastAsia="en-AU"/>
        </w:rPr>
      </w:pPr>
      <w:r w:rsidRPr="00E239E6">
        <w:rPr>
          <w:rFonts w:eastAsia="Times New Roman"/>
          <w:lang w:eastAsia="en-AU"/>
        </w:rPr>
        <w:lastRenderedPageBreak/>
        <w:t>Information on what, and how, supports can be delivered</w:t>
      </w:r>
      <w:r w:rsidRPr="00E239E6" w:rsidDel="00223D05">
        <w:rPr>
          <w:rFonts w:eastAsia="Times New Roman"/>
          <w:lang w:eastAsia="en-AU"/>
        </w:rPr>
        <w:t xml:space="preserve"> and </w:t>
      </w:r>
      <w:r>
        <w:rPr>
          <w:rFonts w:eastAsia="Times New Roman"/>
          <w:lang w:eastAsia="en-AU"/>
        </w:rPr>
        <w:t xml:space="preserve">how they are </w:t>
      </w:r>
      <w:r w:rsidRPr="00E239E6">
        <w:rPr>
          <w:rFonts w:eastAsia="Times New Roman"/>
          <w:lang w:eastAsia="en-AU"/>
        </w:rPr>
        <w:t xml:space="preserve">paid for </w:t>
      </w:r>
      <w:bookmarkEnd w:id="123"/>
      <w:r w:rsidRPr="00E239E6">
        <w:rPr>
          <w:rFonts w:eastAsia="Times New Roman"/>
          <w:lang w:eastAsia="en-AU"/>
        </w:rPr>
        <w:t>is hard to find and understand</w:t>
      </w:r>
    </w:p>
    <w:p w14:paraId="02B49D83" w14:textId="77777777" w:rsidR="00857915" w:rsidRDefault="00857915" w:rsidP="00857915">
      <w:pPr>
        <w:pStyle w:val="Quote"/>
        <w:rPr>
          <w:lang w:eastAsia="en-AU"/>
        </w:rPr>
      </w:pPr>
      <w:r>
        <w:rPr>
          <w:rFonts w:eastAsia="Times New Roman"/>
          <w:lang w:eastAsia="en-AU"/>
        </w:rPr>
        <w:t>‘</w:t>
      </w:r>
      <w:r w:rsidRPr="00E239E6">
        <w:rPr>
          <w:rFonts w:eastAsia="Times New Roman"/>
          <w:lang w:eastAsia="en-AU"/>
        </w:rPr>
        <w:t xml:space="preserve">Overwhelming amount of information on website. </w:t>
      </w:r>
      <w:r w:rsidRPr="00857915">
        <w:rPr>
          <w:rFonts w:eastAsia="Times New Roman"/>
          <w:b/>
          <w:color w:val="8F578F" w:themeColor="text2" w:themeShade="BF"/>
          <w:lang w:eastAsia="en-AU"/>
        </w:rPr>
        <w:t>Not easy to try to understand if you are able to purchase something</w:t>
      </w:r>
      <w:r w:rsidRPr="00857915">
        <w:rPr>
          <w:rFonts w:eastAsia="Times New Roman"/>
          <w:color w:val="8F578F" w:themeColor="text2" w:themeShade="BF"/>
          <w:lang w:eastAsia="en-AU"/>
        </w:rPr>
        <w:t xml:space="preserve"> </w:t>
      </w:r>
      <w:r w:rsidRPr="00E239E6">
        <w:rPr>
          <w:rFonts w:eastAsia="Times New Roman"/>
          <w:lang w:eastAsia="en-AU"/>
        </w:rPr>
        <w:t xml:space="preserve">… </w:t>
      </w:r>
      <w:r w:rsidRPr="00E239E6">
        <w:rPr>
          <w:lang w:eastAsia="en-AU"/>
        </w:rPr>
        <w:t>there often seems to be conflicting information and I don't want to live in fear of being audited and having to repay or have self-managed revoked which is</w:t>
      </w:r>
      <w:r>
        <w:rPr>
          <w:lang w:eastAsia="en-AU"/>
        </w:rPr>
        <w:t xml:space="preserve"> what some people are claiming.’</w:t>
      </w:r>
    </w:p>
    <w:p w14:paraId="660B6F26" w14:textId="77777777" w:rsidR="00857915" w:rsidRPr="008335AB" w:rsidRDefault="00857915" w:rsidP="00857915">
      <w:pPr>
        <w:pStyle w:val="Quote"/>
        <w:rPr>
          <w:rFonts w:eastAsia="Times New Roman"/>
          <w:lang w:eastAsia="en-AU"/>
        </w:rPr>
      </w:pPr>
      <w:r>
        <w:rPr>
          <w:lang w:eastAsia="en-AU"/>
        </w:rPr>
        <w:t>–</w:t>
      </w:r>
      <w:r w:rsidRPr="00E239E6">
        <w:rPr>
          <w:lang w:eastAsia="en-AU"/>
        </w:rPr>
        <w:t xml:space="preserve"> Anonymous, Carer</w:t>
      </w:r>
      <w:r>
        <w:rPr>
          <w:lang w:eastAsia="en-AU"/>
        </w:rPr>
        <w:t xml:space="preserve"> of NDIS participant</w:t>
      </w:r>
      <w:r w:rsidRPr="00E239E6">
        <w:rPr>
          <w:rStyle w:val="EndnoteReference"/>
          <w:rFonts w:cstheme="minorHAnsi"/>
          <w:i w:val="0"/>
          <w:lang w:eastAsia="en-AU"/>
        </w:rPr>
        <w:endnoteReference w:id="11"/>
      </w:r>
    </w:p>
    <w:p w14:paraId="5FB3E65D" w14:textId="77777777" w:rsidR="00857915" w:rsidRDefault="00857915" w:rsidP="00857915">
      <w:pPr>
        <w:rPr>
          <w:rFonts w:eastAsia="Times New Roman"/>
          <w:lang w:eastAsia="en-AU"/>
        </w:rPr>
      </w:pPr>
      <w:r w:rsidRPr="3DFFC190">
        <w:rPr>
          <w:rFonts w:eastAsia="Times New Roman"/>
          <w:lang w:eastAsia="en-AU"/>
        </w:rPr>
        <w:t>Currently, most participants</w:t>
      </w:r>
      <w:r>
        <w:rPr>
          <w:rFonts w:eastAsia="Times New Roman"/>
          <w:lang w:eastAsia="en-AU"/>
        </w:rPr>
        <w:t xml:space="preserve"> and</w:t>
      </w:r>
      <w:r w:rsidRPr="3DFFC190">
        <w:rPr>
          <w:rFonts w:eastAsia="Times New Roman"/>
          <w:lang w:eastAsia="en-AU"/>
        </w:rPr>
        <w:t xml:space="preserve"> their families </w:t>
      </w:r>
      <w:r>
        <w:rPr>
          <w:rFonts w:eastAsia="Times New Roman"/>
          <w:lang w:eastAsia="en-AU"/>
        </w:rPr>
        <w:t>are not supported to make decisions</w:t>
      </w:r>
      <w:r w:rsidRPr="3DFFC190">
        <w:rPr>
          <w:rFonts w:eastAsia="Times New Roman"/>
          <w:lang w:eastAsia="en-AU"/>
        </w:rPr>
        <w:t xml:space="preserve"> as informed consumers. </w:t>
      </w:r>
    </w:p>
    <w:p w14:paraId="13995B4C" w14:textId="77777777" w:rsidR="00857915" w:rsidRPr="00425196" w:rsidRDefault="00857915" w:rsidP="00857915">
      <w:pPr>
        <w:rPr>
          <w:rFonts w:eastAsia="Times New Roman"/>
          <w:lang w:eastAsia="en-AU"/>
        </w:rPr>
      </w:pPr>
      <w:r>
        <w:rPr>
          <w:rFonts w:eastAsia="Times New Roman"/>
          <w:lang w:eastAsia="en-AU"/>
        </w:rPr>
        <w:t>It is difficult to access and understand information on what supports can be purchased, along with the prices and quality of these supports (</w:t>
      </w:r>
      <w:r w:rsidRPr="00685DD3">
        <w:rPr>
          <w:rFonts w:eastAsia="Times New Roman"/>
          <w:i/>
          <w:lang w:eastAsia="en-AU"/>
        </w:rPr>
        <w:t>Figure 2</w:t>
      </w:r>
      <w:r>
        <w:rPr>
          <w:rFonts w:eastAsia="Times New Roman"/>
          <w:lang w:eastAsia="en-AU"/>
        </w:rPr>
        <w:t>). P</w:t>
      </w:r>
      <w:r w:rsidRPr="00E239E6">
        <w:rPr>
          <w:rFonts w:cstheme="minorHAnsi"/>
          <w:lang w:eastAsia="en-AU"/>
        </w:rPr>
        <w:t xml:space="preserve">articipants and providers </w:t>
      </w:r>
      <w:r>
        <w:rPr>
          <w:rFonts w:cstheme="minorHAnsi"/>
          <w:lang w:eastAsia="en-AU"/>
        </w:rPr>
        <w:t>are required</w:t>
      </w:r>
      <w:r w:rsidRPr="00E239E6">
        <w:rPr>
          <w:rFonts w:cstheme="minorHAnsi"/>
          <w:lang w:eastAsia="en-AU"/>
        </w:rPr>
        <w:t xml:space="preserve"> to make sense of information in individualised NDIS plans alongside navigating complex guidance, policies and rules.</w:t>
      </w:r>
      <w:r>
        <w:rPr>
          <w:rFonts w:cstheme="minorHAnsi"/>
          <w:lang w:eastAsia="en-AU"/>
        </w:rPr>
        <w:t xml:space="preserve"> </w:t>
      </w:r>
    </w:p>
    <w:p w14:paraId="7D504075" w14:textId="77777777" w:rsidR="00857915" w:rsidRPr="00166EB6" w:rsidRDefault="00857915" w:rsidP="00857915">
      <w:pPr>
        <w:rPr>
          <w:rFonts w:eastAsia="Times New Roman" w:cstheme="minorHAnsi"/>
          <w:lang w:eastAsia="en-AU"/>
        </w:rPr>
      </w:pPr>
      <w:r w:rsidRPr="00E239E6">
        <w:rPr>
          <w:rFonts w:cstheme="minorHAnsi"/>
          <w:lang w:eastAsia="en-AU"/>
        </w:rPr>
        <w:t xml:space="preserve">Information on the NDIS and NDIS Quality and Safeguards Commission (NDIS Commission) websites </w:t>
      </w:r>
      <w:r>
        <w:rPr>
          <w:rFonts w:cstheme="minorHAnsi"/>
          <w:lang w:eastAsia="en-AU"/>
        </w:rPr>
        <w:t>is</w:t>
      </w:r>
      <w:r w:rsidRPr="00E239E6">
        <w:rPr>
          <w:rFonts w:cstheme="minorHAnsi"/>
          <w:lang w:eastAsia="en-AU"/>
        </w:rPr>
        <w:t xml:space="preserve"> difficult </w:t>
      </w:r>
      <w:r>
        <w:rPr>
          <w:rFonts w:cstheme="minorHAnsi"/>
          <w:lang w:eastAsia="en-AU"/>
        </w:rPr>
        <w:t xml:space="preserve">for participants, providers and the general public </w:t>
      </w:r>
      <w:r w:rsidRPr="00E239E6">
        <w:rPr>
          <w:rFonts w:cstheme="minorHAnsi"/>
          <w:lang w:eastAsia="en-AU"/>
        </w:rPr>
        <w:t>to navigate, find and understand.</w:t>
      </w:r>
      <w:r w:rsidRPr="00E239E6">
        <w:rPr>
          <w:rStyle w:val="EndnoteReference"/>
          <w:rFonts w:cstheme="minorHAnsi"/>
          <w:lang w:eastAsia="en-AU"/>
        </w:rPr>
        <w:endnoteReference w:id="12"/>
      </w:r>
      <w:r w:rsidRPr="00E239E6">
        <w:rPr>
          <w:rFonts w:cstheme="minorHAnsi"/>
          <w:lang w:eastAsia="en-AU"/>
        </w:rPr>
        <w:t xml:space="preserve"> </w:t>
      </w:r>
      <w:r w:rsidRPr="00E239E6">
        <w:rPr>
          <w:rFonts w:cstheme="minorHAnsi"/>
        </w:rPr>
        <w:t xml:space="preserve">This makes it difficult for participants and others to </w:t>
      </w:r>
      <w:r>
        <w:rPr>
          <w:rFonts w:cstheme="minorHAnsi"/>
        </w:rPr>
        <w:t>access</w:t>
      </w:r>
      <w:r w:rsidRPr="00E239E6">
        <w:rPr>
          <w:rFonts w:cstheme="minorHAnsi"/>
        </w:rPr>
        <w:t xml:space="preserve"> and compare information about the prices of supports and quality of providers in the market</w:t>
      </w:r>
      <w:r w:rsidRPr="00E239E6">
        <w:rPr>
          <w:rFonts w:eastAsia="Times New Roman" w:cstheme="minorHAnsi"/>
          <w:lang w:eastAsia="en-AU"/>
        </w:rPr>
        <w:t>.</w:t>
      </w:r>
    </w:p>
    <w:p w14:paraId="0AC5BE25" w14:textId="77777777" w:rsidR="00857915" w:rsidRDefault="00857915" w:rsidP="00857915">
      <w:pPr>
        <w:rPr>
          <w:rFonts w:cstheme="minorHAnsi"/>
          <w:lang w:eastAsia="en-AU"/>
        </w:rPr>
      </w:pPr>
      <w:r w:rsidRPr="00E239E6">
        <w:rPr>
          <w:rFonts w:cstheme="minorHAnsi"/>
          <w:lang w:eastAsia="en-AU"/>
        </w:rPr>
        <w:t>Much of the information currently available – through governments and broader sector</w:t>
      </w:r>
      <w:r>
        <w:rPr>
          <w:rFonts w:cstheme="minorHAnsi"/>
          <w:lang w:eastAsia="en-AU"/>
        </w:rPr>
        <w:noBreakHyphen/>
      </w:r>
      <w:r w:rsidRPr="00E239E6">
        <w:rPr>
          <w:rFonts w:cstheme="minorHAnsi"/>
          <w:lang w:eastAsia="en-AU"/>
        </w:rPr>
        <w:t xml:space="preserve">driven initiatives (such as online forums) – </w:t>
      </w:r>
      <w:r>
        <w:rPr>
          <w:rFonts w:cstheme="minorHAnsi"/>
          <w:lang w:eastAsia="en-AU"/>
        </w:rPr>
        <w:t>provides little help to</w:t>
      </w:r>
      <w:r w:rsidRPr="00E239E6">
        <w:rPr>
          <w:rFonts w:cstheme="minorHAnsi"/>
          <w:lang w:eastAsia="en-AU"/>
        </w:rPr>
        <w:t xml:space="preserve"> participants to determine what services should be delivered, what good services look like, or what they should cost. </w:t>
      </w:r>
    </w:p>
    <w:p w14:paraId="5F1C4BCF" w14:textId="77777777" w:rsidR="00857915" w:rsidRDefault="00857915" w:rsidP="00857915">
      <w:pPr>
        <w:spacing w:after="200" w:line="288" w:lineRule="auto"/>
      </w:pPr>
      <w:r w:rsidRPr="008F1BAF">
        <w:t>Reliable, timely and accessible information is also unlikely to be sufficient</w:t>
      </w:r>
      <w:r>
        <w:t>,</w:t>
      </w:r>
      <w:r w:rsidRPr="008F1BAF">
        <w:t xml:space="preserve"> noting that many NDIS participants and their families and carers are time poor. For others</w:t>
      </w:r>
      <w:r>
        <w:t>,</w:t>
      </w:r>
      <w:r w:rsidRPr="008F1BAF">
        <w:t xml:space="preserve"> there can be language, educational and cultural barriers so tailored advice </w:t>
      </w:r>
      <w:r w:rsidRPr="008F1BAF">
        <w:lastRenderedPageBreak/>
        <w:t xml:space="preserve">and capacity building from trusted independent sources </w:t>
      </w:r>
      <w:r>
        <w:t>are</w:t>
      </w:r>
      <w:r w:rsidRPr="008F1BAF">
        <w:t xml:space="preserve"> an essential adjunct to good quality information.</w:t>
      </w:r>
    </w:p>
    <w:p w14:paraId="5B953125" w14:textId="77777777" w:rsidR="00857915" w:rsidRDefault="00857915" w:rsidP="00C53CA3">
      <w:pPr>
        <w:pStyle w:val="Figure"/>
      </w:pPr>
      <w:r w:rsidRPr="00C53CA3">
        <w:t>Current information is lacking on what supports can be purchased, how much this should cost participants, and what good looks like</w:t>
      </w:r>
      <w:r w:rsidRPr="00E239E6">
        <w:rPr>
          <w:rStyle w:val="EndnoteReference"/>
          <w:rFonts w:cstheme="minorHAnsi"/>
        </w:rPr>
        <w:endnoteReference w:id="13"/>
      </w:r>
    </w:p>
    <w:p w14:paraId="058B3655" w14:textId="77777777" w:rsidR="008450D5" w:rsidRPr="00BC0D7A" w:rsidRDefault="008450D5" w:rsidP="008450D5">
      <w:pPr>
        <w:pStyle w:val="INFO-Quote1"/>
        <w:rPr>
          <w:b/>
        </w:rPr>
      </w:pPr>
      <w:r w:rsidRPr="00BC0D7A">
        <w:rPr>
          <w:b/>
        </w:rPr>
        <w:t>Understanding how NDIS funding can be used is too confusing and complicated</w:t>
      </w:r>
    </w:p>
    <w:p w14:paraId="48AFFED8" w14:textId="77777777" w:rsidR="008450D5" w:rsidRPr="00FF709E" w:rsidRDefault="000B4E1F" w:rsidP="008450D5">
      <w:pPr>
        <w:pStyle w:val="INFO-Quote1"/>
        <w:rPr>
          <w:lang w:val="en-US"/>
        </w:rPr>
      </w:pPr>
      <w:r>
        <w:rPr>
          <w:lang w:val="en-US"/>
        </w:rPr>
        <w:t>‘</w:t>
      </w:r>
      <w:r w:rsidR="008450D5" w:rsidRPr="00FF709E">
        <w:rPr>
          <w:lang w:val="en-US"/>
        </w:rPr>
        <w:t>How confusing it is … it baffles me that it is so hard for us to use and access because we have troubles with the things we need to do to get help. No one informs you what things are … [including] what you can use th</w:t>
      </w:r>
      <w:r>
        <w:rPr>
          <w:lang w:val="en-US"/>
        </w:rPr>
        <w:t>ose allocated things for.’</w:t>
      </w:r>
      <w:r w:rsidR="008450D5" w:rsidRPr="00FF709E">
        <w:rPr>
          <w:lang w:val="en-US"/>
        </w:rPr>
        <w:t xml:space="preserve"> </w:t>
      </w:r>
    </w:p>
    <w:p w14:paraId="22D08581" w14:textId="77777777" w:rsidR="008450D5" w:rsidRDefault="008450D5" w:rsidP="008450D5">
      <w:pPr>
        <w:pStyle w:val="INFO-Quote1"/>
      </w:pPr>
      <w:r w:rsidRPr="00FF709E">
        <w:t>–</w:t>
      </w:r>
      <w:r>
        <w:t xml:space="preserve"> Anonymous, </w:t>
      </w:r>
      <w:r w:rsidRPr="00FF709E">
        <w:t>NDIS participant</w:t>
      </w:r>
    </w:p>
    <w:p w14:paraId="349E61F5" w14:textId="77777777" w:rsidR="00BC0D7A" w:rsidRPr="00BC0D7A" w:rsidRDefault="00BC0D7A" w:rsidP="00BC0D7A">
      <w:pPr>
        <w:pStyle w:val="INFO-Quote2"/>
        <w:rPr>
          <w:b/>
        </w:rPr>
      </w:pPr>
      <w:r w:rsidRPr="00BC0D7A">
        <w:rPr>
          <w:b/>
        </w:rPr>
        <w:t>It takes a lot of time and effort for participants to find providers</w:t>
      </w:r>
    </w:p>
    <w:p w14:paraId="3B20C168" w14:textId="77777777" w:rsidR="00BC0D7A" w:rsidRDefault="000B4E1F" w:rsidP="00BC0D7A">
      <w:pPr>
        <w:pStyle w:val="INFO-Quote2"/>
      </w:pPr>
      <w:r>
        <w:t>‘</w:t>
      </w:r>
      <w:r w:rsidR="00BC0D7A">
        <w:t>[It is] too clumsy for participants and too hard to find providers easily - all the info is dumped into complicated documents and [Australia] wide rather than State based and sector based. How are disabled people and their stressed ca</w:t>
      </w:r>
      <w:r>
        <w:t>rers supposed to navigate this?’</w:t>
      </w:r>
    </w:p>
    <w:p w14:paraId="72A87E9B" w14:textId="77777777" w:rsidR="00BC0D7A" w:rsidRDefault="00BC0D7A" w:rsidP="00BC0D7A">
      <w:pPr>
        <w:pStyle w:val="INFO-Quote2"/>
      </w:pPr>
      <w:r>
        <w:t>– Anonymous, Carer of NDIS participant</w:t>
      </w:r>
    </w:p>
    <w:p w14:paraId="450DF99E" w14:textId="77777777" w:rsidR="00BC0D7A" w:rsidRPr="00E239E6" w:rsidRDefault="00BC0D7A" w:rsidP="00BC0D7A">
      <w:pPr>
        <w:pStyle w:val="Heading4"/>
      </w:pPr>
      <w:r w:rsidRPr="00E239E6">
        <w:t xml:space="preserve">Governments do not have the </w:t>
      </w:r>
      <w:r>
        <w:t>information</w:t>
      </w:r>
      <w:r w:rsidRPr="00E239E6" w:rsidDel="00026C54">
        <w:t xml:space="preserve"> </w:t>
      </w:r>
      <w:r w:rsidRPr="00E239E6">
        <w:t xml:space="preserve">to effectively steward markets </w:t>
      </w:r>
    </w:p>
    <w:p w14:paraId="442DFF3C" w14:textId="77777777" w:rsidR="00BC0D7A" w:rsidRPr="00E239E6" w:rsidRDefault="00BC0D7A" w:rsidP="00BC0D7A">
      <w:r w:rsidRPr="3DFFC190">
        <w:t xml:space="preserve">The NDIA and NDIS Commission capture limited data on </w:t>
      </w:r>
      <w:r>
        <w:t xml:space="preserve">the experiences of </w:t>
      </w:r>
      <w:r w:rsidRPr="3DFFC190">
        <w:t>participant</w:t>
      </w:r>
      <w:r>
        <w:t>s, workers</w:t>
      </w:r>
      <w:r w:rsidRPr="3DFFC190">
        <w:t xml:space="preserve"> and provider</w:t>
      </w:r>
      <w:r>
        <w:t>s</w:t>
      </w:r>
      <w:r w:rsidRPr="3DFFC190">
        <w:t xml:space="preserve">. This is </w:t>
      </w:r>
      <w:r>
        <w:t>not systematically</w:t>
      </w:r>
      <w:r w:rsidRPr="3DFFC190">
        <w:t xml:space="preserve"> shared with the market to generate incentives to compete on price and quality, </w:t>
      </w:r>
      <w:r>
        <w:t>or</w:t>
      </w:r>
      <w:r w:rsidRPr="3DFFC190">
        <w:t xml:space="preserve"> to </w:t>
      </w:r>
      <w:r>
        <w:t xml:space="preserve">drive </w:t>
      </w:r>
      <w:r w:rsidRPr="3DFFC190">
        <w:t>innovat</w:t>
      </w:r>
      <w:r>
        <w:t>ion</w:t>
      </w:r>
      <w:r w:rsidRPr="3DFFC190">
        <w:t xml:space="preserve">. </w:t>
      </w:r>
    </w:p>
    <w:p w14:paraId="33A57CA9" w14:textId="77777777" w:rsidR="00BC0D7A" w:rsidRPr="00E239E6" w:rsidRDefault="00BC0D7A" w:rsidP="00BC0D7A">
      <w:pPr>
        <w:rPr>
          <w:rFonts w:cstheme="minorHAnsi"/>
        </w:rPr>
      </w:pPr>
      <w:r w:rsidRPr="00E239E6">
        <w:rPr>
          <w:rFonts w:cstheme="minorHAnsi"/>
        </w:rPr>
        <w:t>For both agency-managed and plan-managed supports, transaction data gives some indication of who is getting</w:t>
      </w:r>
      <w:r>
        <w:rPr>
          <w:rFonts w:cstheme="minorHAnsi"/>
        </w:rPr>
        <w:t>,</w:t>
      </w:r>
      <w:r w:rsidRPr="00E239E6">
        <w:rPr>
          <w:rFonts w:cstheme="minorHAnsi"/>
        </w:rPr>
        <w:t xml:space="preserve"> and providing</w:t>
      </w:r>
      <w:r>
        <w:rPr>
          <w:rFonts w:cstheme="minorHAnsi"/>
        </w:rPr>
        <w:t>,</w:t>
      </w:r>
      <w:r w:rsidRPr="00E239E6">
        <w:rPr>
          <w:rFonts w:cstheme="minorHAnsi"/>
        </w:rPr>
        <w:t xml:space="preserve"> what services. However, little information is captured on how, where and how well services were delivered.</w:t>
      </w:r>
    </w:p>
    <w:p w14:paraId="6EAC2D64" w14:textId="77777777" w:rsidR="00BC0D7A" w:rsidRDefault="00BC0D7A" w:rsidP="00BC0D7A">
      <w:r w:rsidRPr="3DFFC190">
        <w:lastRenderedPageBreak/>
        <w:t>Even less information is captured where participants are self-managing their supports</w:t>
      </w:r>
      <w:r>
        <w:t xml:space="preserve"> </w:t>
      </w:r>
      <w:r>
        <w:rPr>
          <w:rFonts w:cstheme="minorHAnsi"/>
        </w:rPr>
        <w:t>(</w:t>
      </w:r>
      <w:r w:rsidRPr="002D3151">
        <w:rPr>
          <w:rFonts w:cstheme="minorHAnsi"/>
          <w:i/>
        </w:rPr>
        <w:fldChar w:fldCharType="begin"/>
      </w:r>
      <w:r w:rsidRPr="002D3151">
        <w:rPr>
          <w:rFonts w:cstheme="minorHAnsi"/>
          <w:i/>
        </w:rPr>
        <w:instrText xml:space="preserve"> REF _Ref133939635 \h </w:instrText>
      </w:r>
      <w:r>
        <w:rPr>
          <w:rFonts w:cstheme="minorHAnsi"/>
          <w:i/>
        </w:rPr>
        <w:instrText xml:space="preserve"> \* MERGEFORMAT </w:instrText>
      </w:r>
      <w:r w:rsidRPr="002D3151">
        <w:rPr>
          <w:rFonts w:cstheme="minorHAnsi"/>
          <w:i/>
        </w:rPr>
      </w:r>
      <w:r w:rsidRPr="002D3151">
        <w:rPr>
          <w:rFonts w:cstheme="minorHAnsi"/>
          <w:i/>
        </w:rPr>
        <w:fldChar w:fldCharType="separate"/>
      </w:r>
      <w:r w:rsidRPr="002D3151">
        <w:rPr>
          <w:i/>
        </w:rPr>
        <w:t xml:space="preserve">Figure </w:t>
      </w:r>
      <w:r w:rsidRPr="002D3151">
        <w:rPr>
          <w:i/>
          <w:noProof/>
        </w:rPr>
        <w:t>3</w:t>
      </w:r>
      <w:r w:rsidRPr="002D3151">
        <w:rPr>
          <w:rFonts w:cstheme="minorHAnsi"/>
          <w:i/>
        </w:rPr>
        <w:fldChar w:fldCharType="end"/>
      </w:r>
      <w:r>
        <w:rPr>
          <w:rFonts w:cstheme="minorHAnsi"/>
        </w:rPr>
        <w:t>)</w:t>
      </w:r>
      <w:r w:rsidRPr="3DFFC190">
        <w:t>. For the quarter ending 31 December 2022, the market for self-managed supports made up 12</w:t>
      </w:r>
      <w:r>
        <w:rPr>
          <w:rFonts w:eastAsia="Times New Roman"/>
          <w:lang w:eastAsia="en-AU"/>
        </w:rPr>
        <w:t>%</w:t>
      </w:r>
      <w:r w:rsidRPr="3DFFC190">
        <w:t xml:space="preserve"> of the NDIS market in terms of payments.</w:t>
      </w:r>
      <w:r w:rsidRPr="3DFFC190">
        <w:rPr>
          <w:rStyle w:val="EndnoteReference"/>
        </w:rPr>
        <w:endnoteReference w:id="14"/>
      </w:r>
      <w:r w:rsidRPr="3DFFC190">
        <w:t xml:space="preserve"> </w:t>
      </w:r>
    </w:p>
    <w:bookmarkStart w:id="124" w:name="Fig3"/>
    <w:bookmarkEnd w:id="124"/>
    <w:p w14:paraId="5E5658E7" w14:textId="77777777" w:rsidR="00994634" w:rsidRPr="00987367" w:rsidRDefault="00101EB1" w:rsidP="00C53CA3">
      <w:pPr>
        <w:pStyle w:val="Figure"/>
      </w:pPr>
      <w:r w:rsidRPr="00987367">
        <w:fldChar w:fldCharType="begin"/>
      </w:r>
      <w:r w:rsidRPr="00987367">
        <w:instrText xml:space="preserve"> HYPERLINK \l "_Figure_3_-" </w:instrText>
      </w:r>
      <w:r w:rsidRPr="00987367">
        <w:fldChar w:fldCharType="separate"/>
      </w:r>
      <w:r w:rsidR="00994634" w:rsidRPr="00987367">
        <w:rPr>
          <w:rStyle w:val="Hyperlink"/>
          <w:u w:val="none"/>
        </w:rPr>
        <w:t>At the end of 2022, around 30</w:t>
      </w:r>
      <w:r w:rsidR="00994634" w:rsidRPr="00987367">
        <w:rPr>
          <w:rStyle w:val="Hyperlink"/>
          <w:rFonts w:eastAsia="Times New Roman"/>
          <w:u w:val="none"/>
          <w:lang w:eastAsia="en-AU"/>
        </w:rPr>
        <w:t>%</w:t>
      </w:r>
      <w:r w:rsidR="00994634" w:rsidRPr="00987367">
        <w:rPr>
          <w:rStyle w:val="Hyperlink"/>
          <w:u w:val="none"/>
        </w:rPr>
        <w:t xml:space="preserve"> of participants self-manage all or part of their plans. This increases to 40</w:t>
      </w:r>
      <w:r w:rsidR="00994634" w:rsidRPr="00987367">
        <w:rPr>
          <w:rStyle w:val="Hyperlink"/>
          <w:rFonts w:eastAsia="Times New Roman"/>
          <w:u w:val="none"/>
          <w:lang w:eastAsia="en-AU"/>
        </w:rPr>
        <w:t>%</w:t>
      </w:r>
      <w:r w:rsidR="00994634" w:rsidRPr="00987367">
        <w:rPr>
          <w:rStyle w:val="Hyperlink"/>
          <w:u w:val="none"/>
        </w:rPr>
        <w:t xml:space="preserve"> for early childhood supports, where parents and carers self-manage on their child's behalf</w:t>
      </w:r>
      <w:r w:rsidRPr="00987367">
        <w:rPr>
          <w:rStyle w:val="Hyperlink"/>
          <w:u w:val="none"/>
        </w:rPr>
        <w:fldChar w:fldCharType="end"/>
      </w:r>
      <w:r w:rsidR="00994634" w:rsidRPr="00987367">
        <w:rPr>
          <w:rStyle w:val="EndnoteReference"/>
        </w:rPr>
        <w:endnoteReference w:id="15"/>
      </w:r>
      <w:r w:rsidR="00994634" w:rsidRPr="00987367">
        <w:t xml:space="preserve"> </w:t>
      </w:r>
    </w:p>
    <w:p w14:paraId="319D6E42" w14:textId="32C05791" w:rsidR="00BC0D7A" w:rsidRDefault="00B67CD4" w:rsidP="00BC0D7A">
      <w:r>
        <w:rPr>
          <w:noProof/>
          <w:lang w:eastAsia="en-AU"/>
        </w:rPr>
        <w:drawing>
          <wp:inline distT="0" distB="0" distL="0" distR="0" wp14:anchorId="17EC258D" wp14:editId="3334D49A">
            <wp:extent cx="6120130" cy="2428875"/>
            <wp:effectExtent l="0" t="0" r="0" b="9525"/>
            <wp:docPr id="11" name="Picture 11" descr="Figure 3. Description in Appendix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ricing-fig3.png"/>
                    <pic:cNvPicPr/>
                  </pic:nvPicPr>
                  <pic:blipFill>
                    <a:blip r:embed="rId17">
                      <a:extLst>
                        <a:ext uri="{28A0092B-C50C-407E-A947-70E740481C1C}">
                          <a14:useLocalDpi xmlns:a14="http://schemas.microsoft.com/office/drawing/2010/main" val="0"/>
                        </a:ext>
                      </a:extLst>
                    </a:blip>
                    <a:stretch>
                      <a:fillRect/>
                    </a:stretch>
                  </pic:blipFill>
                  <pic:spPr>
                    <a:xfrm>
                      <a:off x="0" y="0"/>
                      <a:ext cx="6120130" cy="2428875"/>
                    </a:xfrm>
                    <a:prstGeom prst="rect">
                      <a:avLst/>
                    </a:prstGeom>
                  </pic:spPr>
                </pic:pic>
              </a:graphicData>
            </a:graphic>
          </wp:inline>
        </w:drawing>
      </w:r>
    </w:p>
    <w:p w14:paraId="7F9BB9BB" w14:textId="2EE17123" w:rsidR="001B0F0B" w:rsidRDefault="00B67CD4" w:rsidP="00BC0D7A">
      <w:hyperlink w:anchor="_Figure_3_-" w:history="1">
        <w:r>
          <w:rPr>
            <w:rStyle w:val="Hyperlink"/>
            <w:rFonts w:asciiTheme="minorHAnsi" w:hAnsiTheme="minorHAnsi"/>
          </w:rPr>
          <w:t>F</w:t>
        </w:r>
        <w:r w:rsidR="001B0F0B" w:rsidRPr="001B0F0B">
          <w:rPr>
            <w:rStyle w:val="Hyperlink"/>
            <w:rFonts w:asciiTheme="minorHAnsi" w:hAnsiTheme="minorHAnsi"/>
          </w:rPr>
          <w:t>igure</w:t>
        </w:r>
        <w:r>
          <w:rPr>
            <w:rStyle w:val="Hyperlink"/>
            <w:rFonts w:asciiTheme="minorHAnsi" w:hAnsiTheme="minorHAnsi"/>
          </w:rPr>
          <w:t xml:space="preserve"> 3 text description</w:t>
        </w:r>
      </w:hyperlink>
    </w:p>
    <w:p w14:paraId="14314062" w14:textId="77777777" w:rsidR="00994634" w:rsidRPr="00E239E6" w:rsidRDefault="00994634" w:rsidP="00994634">
      <w:pPr>
        <w:rPr>
          <w:rFonts w:cstheme="minorHAnsi"/>
        </w:rPr>
      </w:pPr>
      <w:r w:rsidRPr="00E239E6">
        <w:rPr>
          <w:rFonts w:cstheme="minorHAnsi"/>
        </w:rPr>
        <w:t xml:space="preserve">Feedback about service providers </w:t>
      </w:r>
      <w:r>
        <w:rPr>
          <w:rFonts w:cstheme="minorHAnsi"/>
        </w:rPr>
        <w:t>is</w:t>
      </w:r>
      <w:r w:rsidRPr="00E239E6">
        <w:rPr>
          <w:rFonts w:cstheme="minorHAnsi"/>
        </w:rPr>
        <w:t xml:space="preserve"> typically collected on a complaint basis across different government agencies. This includes through the NDIA, NDIS Commission, Australian Competition and Consumer Commission (ACCC), and state and territory governments. </w:t>
      </w:r>
      <w:r>
        <w:rPr>
          <w:rFonts w:cstheme="minorHAnsi"/>
        </w:rPr>
        <w:t>Each can collect different pieces of feedback – for example, the NDIS Commission deals specifically with complaints relating to the compliance of NDIS providers.</w:t>
      </w:r>
    </w:p>
    <w:p w14:paraId="407FB669" w14:textId="77777777" w:rsidR="00994634" w:rsidRPr="00F447B9" w:rsidRDefault="00994634" w:rsidP="00994634">
      <w:pPr>
        <w:rPr>
          <w:rFonts w:cstheme="minorHAnsi"/>
        </w:rPr>
      </w:pPr>
      <w:r>
        <w:rPr>
          <w:rFonts w:cstheme="minorHAnsi"/>
        </w:rPr>
        <w:t>Even when collected, feedback</w:t>
      </w:r>
      <w:r w:rsidRPr="00E239E6">
        <w:rPr>
          <w:rFonts w:cstheme="minorHAnsi"/>
        </w:rPr>
        <w:t xml:space="preserve"> </w:t>
      </w:r>
      <w:r>
        <w:rPr>
          <w:rFonts w:cstheme="minorHAnsi"/>
        </w:rPr>
        <w:t>is</w:t>
      </w:r>
      <w:r w:rsidRPr="00E239E6">
        <w:rPr>
          <w:rFonts w:cstheme="minorHAnsi"/>
        </w:rPr>
        <w:t xml:space="preserve"> </w:t>
      </w:r>
      <w:r>
        <w:rPr>
          <w:rFonts w:cstheme="minorHAnsi"/>
        </w:rPr>
        <w:t>not</w:t>
      </w:r>
      <w:r w:rsidRPr="00E239E6">
        <w:rPr>
          <w:rFonts w:cstheme="minorHAnsi"/>
        </w:rPr>
        <w:t xml:space="preserve"> </w:t>
      </w:r>
      <w:r>
        <w:rPr>
          <w:rFonts w:cstheme="minorHAnsi"/>
        </w:rPr>
        <w:t>widely shared</w:t>
      </w:r>
      <w:r w:rsidRPr="00E239E6">
        <w:rPr>
          <w:rFonts w:cstheme="minorHAnsi"/>
        </w:rPr>
        <w:t xml:space="preserve"> </w:t>
      </w:r>
      <w:r>
        <w:rPr>
          <w:rFonts w:cstheme="minorHAnsi"/>
        </w:rPr>
        <w:t>across the NDIS market</w:t>
      </w:r>
      <w:r w:rsidRPr="00E239E6">
        <w:rPr>
          <w:rFonts w:cstheme="minorHAnsi"/>
        </w:rPr>
        <w:t xml:space="preserve">. </w:t>
      </w:r>
      <w:r>
        <w:rPr>
          <w:rFonts w:cstheme="minorHAnsi"/>
        </w:rPr>
        <w:t>T</w:t>
      </w:r>
      <w:r w:rsidRPr="00E239E6">
        <w:rPr>
          <w:rFonts w:cstheme="minorHAnsi"/>
        </w:rPr>
        <w:t>his makes it near impossible to effectively understand, let alone monitor, how the market is working.</w:t>
      </w:r>
    </w:p>
    <w:p w14:paraId="7E85A691" w14:textId="77777777" w:rsidR="00994634" w:rsidRPr="00E239E6" w:rsidRDefault="00994634" w:rsidP="00994634">
      <w:r w:rsidRPr="3DFFC190">
        <w:lastRenderedPageBreak/>
        <w:t xml:space="preserve">Altogether, the </w:t>
      </w:r>
      <w:r>
        <w:t xml:space="preserve">currently </w:t>
      </w:r>
      <w:r w:rsidRPr="3DFFC190">
        <w:t>available forecasts of participant demand for NDIS supports</w:t>
      </w:r>
      <w:r w:rsidRPr="3DFFC190">
        <w:rPr>
          <w:rStyle w:val="EndnoteReference"/>
        </w:rPr>
        <w:endnoteReference w:id="16"/>
      </w:r>
      <w:r w:rsidRPr="3DFFC190">
        <w:t xml:space="preserve"> and </w:t>
      </w:r>
      <w:r>
        <w:t xml:space="preserve">existing </w:t>
      </w:r>
      <w:r w:rsidRPr="3DFFC190">
        <w:t>NDIS market information</w:t>
      </w:r>
      <w:r w:rsidRPr="3DFFC190">
        <w:rPr>
          <w:rStyle w:val="EndnoteReference"/>
        </w:rPr>
        <w:endnoteReference w:id="17"/>
      </w:r>
      <w:r w:rsidRPr="3DFFC190">
        <w:t xml:space="preserve"> are not enough for governments to </w:t>
      </w:r>
      <w:r>
        <w:t xml:space="preserve">effectively monitor and intervene in </w:t>
      </w:r>
      <w:r w:rsidRPr="3DFFC190">
        <w:t xml:space="preserve">the NDIS market. Currently available information and data is not </w:t>
      </w:r>
      <w:r>
        <w:t>sufficiently accessible, detailed or frequent</w:t>
      </w:r>
      <w:r w:rsidRPr="3DFFC190">
        <w:t xml:space="preserve"> enough for governments to identify emerging issues or gaps in </w:t>
      </w:r>
      <w:r>
        <w:t xml:space="preserve">the </w:t>
      </w:r>
      <w:r w:rsidRPr="3DFFC190">
        <w:t>market</w:t>
      </w:r>
      <w:r>
        <w:t>. It is also not enough to identify whether trends in market dynamics and behaviours are consistent with delivering outcomes for participants and a sustainable scheme</w:t>
      </w:r>
      <w:r w:rsidRPr="3DFFC190">
        <w:t xml:space="preserve">. </w:t>
      </w:r>
    </w:p>
    <w:p w14:paraId="6854135E" w14:textId="77777777" w:rsidR="00994634" w:rsidRDefault="00994634" w:rsidP="00994634">
      <w:r>
        <w:t>Currently</w:t>
      </w:r>
      <w:r w:rsidRPr="3DFFC190">
        <w:t xml:space="preserve"> </w:t>
      </w:r>
      <w:r>
        <w:t xml:space="preserve">available </w:t>
      </w:r>
      <w:r w:rsidRPr="3DFFC190">
        <w:t>tools provide little information for NDIS providers to respond to participants’ needs in an effective and timely manner</w:t>
      </w:r>
      <w:r>
        <w:t>. So market information asymmetries exist between participants and providers as well as providers and governments</w:t>
      </w:r>
      <w:r w:rsidRPr="3DFFC190">
        <w:t>.</w:t>
      </w:r>
    </w:p>
    <w:p w14:paraId="7C77DF60" w14:textId="77777777" w:rsidR="00994634" w:rsidRPr="00E239E6" w:rsidRDefault="00994634" w:rsidP="00994634">
      <w:pPr>
        <w:pStyle w:val="Heading4"/>
        <w:rPr>
          <w:rFonts w:eastAsia="Times New Roman"/>
          <w:lang w:eastAsia="en-AU"/>
        </w:rPr>
      </w:pPr>
      <w:r>
        <w:rPr>
          <w:rFonts w:eastAsia="Times New Roman"/>
          <w:lang w:eastAsia="en-AU"/>
        </w:rPr>
        <w:t>Participants can find it difficult to navigate the market and find the right providers and supports</w:t>
      </w:r>
    </w:p>
    <w:p w14:paraId="1DC16B1A" w14:textId="77777777" w:rsidR="00994634" w:rsidRPr="00E239E6" w:rsidRDefault="00994634" w:rsidP="00994634">
      <w:pPr>
        <w:rPr>
          <w:rFonts w:eastAsia="Times New Roman" w:cstheme="minorHAnsi"/>
          <w:lang w:eastAsia="en-AU"/>
        </w:rPr>
      </w:pPr>
      <w:r w:rsidRPr="00E239E6">
        <w:rPr>
          <w:rFonts w:eastAsia="Times New Roman" w:cstheme="minorHAnsi"/>
          <w:lang w:eastAsia="en-AU"/>
        </w:rPr>
        <w:t xml:space="preserve">Increased transparency of what is happening in the market </w:t>
      </w:r>
      <w:r>
        <w:rPr>
          <w:rFonts w:eastAsia="Times New Roman" w:cstheme="minorHAnsi"/>
          <w:lang w:eastAsia="en-AU"/>
        </w:rPr>
        <w:t>can help</w:t>
      </w:r>
      <w:r w:rsidRPr="00E239E6">
        <w:rPr>
          <w:rFonts w:eastAsia="Times New Roman" w:cstheme="minorHAnsi"/>
          <w:lang w:eastAsia="en-AU"/>
        </w:rPr>
        <w:t xml:space="preserve"> drive better participant and </w:t>
      </w:r>
      <w:r>
        <w:rPr>
          <w:rFonts w:eastAsia="Times New Roman" w:cstheme="minorHAnsi"/>
          <w:lang w:eastAsia="en-AU"/>
        </w:rPr>
        <w:t>s</w:t>
      </w:r>
      <w:r w:rsidRPr="00E239E6">
        <w:rPr>
          <w:rFonts w:eastAsia="Times New Roman" w:cstheme="minorHAnsi"/>
          <w:lang w:eastAsia="en-AU"/>
        </w:rPr>
        <w:t>cheme outcomes. But this alone is not enough.</w:t>
      </w:r>
    </w:p>
    <w:p w14:paraId="2036766D" w14:textId="77777777" w:rsidR="00994634" w:rsidRPr="00E239E6" w:rsidRDefault="00994634" w:rsidP="00994634">
      <w:pPr>
        <w:rPr>
          <w:rFonts w:eastAsia="Times New Roman" w:cstheme="minorHAnsi"/>
          <w:lang w:eastAsia="en-AU"/>
        </w:rPr>
      </w:pPr>
      <w:r>
        <w:rPr>
          <w:rFonts w:eastAsia="Times New Roman" w:cstheme="minorHAnsi"/>
          <w:lang w:eastAsia="en-AU"/>
        </w:rPr>
        <w:t>For instance, a</w:t>
      </w:r>
      <w:r w:rsidRPr="00E239E6">
        <w:rPr>
          <w:rFonts w:eastAsia="Times New Roman" w:cstheme="minorHAnsi"/>
          <w:lang w:eastAsia="en-AU"/>
        </w:rPr>
        <w:t xml:space="preserve"> carer for an NDIS participant </w:t>
      </w:r>
      <w:r>
        <w:rPr>
          <w:rFonts w:eastAsia="Times New Roman" w:cstheme="minorHAnsi"/>
          <w:lang w:eastAsia="en-AU"/>
        </w:rPr>
        <w:t>told us</w:t>
      </w:r>
      <w:r w:rsidRPr="00E239E6">
        <w:rPr>
          <w:rFonts w:eastAsia="Times New Roman" w:cstheme="minorHAnsi"/>
          <w:lang w:eastAsia="en-AU"/>
        </w:rPr>
        <w:t xml:space="preserve"> that one of </w:t>
      </w:r>
      <w:r>
        <w:rPr>
          <w:rFonts w:eastAsia="Times New Roman" w:cstheme="minorHAnsi"/>
          <w:lang w:eastAsia="en-AU"/>
        </w:rPr>
        <w:t xml:space="preserve">the </w:t>
      </w:r>
      <w:r w:rsidRPr="00E239E6">
        <w:rPr>
          <w:rFonts w:eastAsia="Times New Roman" w:cstheme="minorHAnsi"/>
          <w:lang w:eastAsia="en-AU"/>
        </w:rPr>
        <w:t xml:space="preserve">main problems with the </w:t>
      </w:r>
      <w:r>
        <w:rPr>
          <w:rFonts w:eastAsia="Times New Roman" w:cstheme="minorHAnsi"/>
          <w:lang w:eastAsia="en-AU"/>
        </w:rPr>
        <w:t>scheme</w:t>
      </w:r>
      <w:r w:rsidRPr="00E239E6">
        <w:rPr>
          <w:rFonts w:eastAsia="Times New Roman" w:cstheme="minorHAnsi"/>
          <w:lang w:eastAsia="en-AU"/>
        </w:rPr>
        <w:t xml:space="preserve"> is</w:t>
      </w:r>
      <w:r>
        <w:rPr>
          <w:rFonts w:eastAsia="Times New Roman" w:cstheme="minorHAnsi"/>
          <w:lang w:eastAsia="en-AU"/>
        </w:rPr>
        <w:t xml:space="preserve"> that it is difficult to find providers:</w:t>
      </w:r>
    </w:p>
    <w:p w14:paraId="6469ECFE" w14:textId="77777777" w:rsidR="00994634" w:rsidRPr="00994634" w:rsidRDefault="00994634" w:rsidP="00994634">
      <w:pPr>
        <w:pStyle w:val="Quote"/>
      </w:pPr>
      <w:r>
        <w:t>‘</w:t>
      </w:r>
      <w:r w:rsidRPr="00994634">
        <w:rPr>
          <w:b/>
          <w:color w:val="8F578F" w:themeColor="text2" w:themeShade="BF"/>
        </w:rPr>
        <w:t>It's a full-time job for someone who is supposed to have a disability. … It's too much. Especially when we want to find the right one for the right price we should be getting</w:t>
      </w:r>
      <w:r w:rsidRPr="00994634">
        <w:t>. Those providers who provide one solution stop, cost too much for the funding we get. But finding different ones takes too much time to shop around. It is hard for family member who also need to work and earn a living to provide at the same time.</w:t>
      </w:r>
      <w:r>
        <w:t>’</w:t>
      </w:r>
      <w:r w:rsidRPr="00994634">
        <w:t xml:space="preserve"> </w:t>
      </w:r>
    </w:p>
    <w:p w14:paraId="4EB5AB5B" w14:textId="77777777" w:rsidR="00994634" w:rsidRPr="00994634" w:rsidRDefault="00994634" w:rsidP="00994634">
      <w:pPr>
        <w:pStyle w:val="Quote"/>
      </w:pPr>
      <w:r w:rsidRPr="00994634">
        <w:t>– Anonymous, Carer of NDIS participant</w:t>
      </w:r>
      <w:r w:rsidRPr="00994634">
        <w:rPr>
          <w:rStyle w:val="EndnoteReference"/>
        </w:rPr>
        <w:endnoteReference w:id="18"/>
      </w:r>
    </w:p>
    <w:p w14:paraId="2A7BAF28" w14:textId="77777777" w:rsidR="00994634" w:rsidRPr="00E239E6" w:rsidRDefault="00994634" w:rsidP="00994634">
      <w:pPr>
        <w:rPr>
          <w:rFonts w:eastAsia="Times New Roman"/>
          <w:lang w:eastAsia="en-AU"/>
        </w:rPr>
      </w:pPr>
      <w:r w:rsidRPr="3DFFC190">
        <w:rPr>
          <w:rFonts w:eastAsia="Times New Roman"/>
          <w:lang w:eastAsia="en-AU"/>
        </w:rPr>
        <w:t xml:space="preserve">Under current arrangements, </w:t>
      </w:r>
      <w:r>
        <w:rPr>
          <w:rFonts w:eastAsia="Times New Roman"/>
          <w:lang w:eastAsia="en-AU"/>
        </w:rPr>
        <w:t xml:space="preserve">some </w:t>
      </w:r>
      <w:r w:rsidRPr="3DFFC190">
        <w:rPr>
          <w:rFonts w:eastAsia="Times New Roman"/>
          <w:lang w:eastAsia="en-AU"/>
        </w:rPr>
        <w:t xml:space="preserve">participants </w:t>
      </w:r>
      <w:r>
        <w:rPr>
          <w:rFonts w:eastAsia="Times New Roman"/>
          <w:lang w:eastAsia="en-AU"/>
        </w:rPr>
        <w:t xml:space="preserve">may be able to </w:t>
      </w:r>
      <w:r w:rsidRPr="3DFFC190">
        <w:rPr>
          <w:rFonts w:eastAsia="Times New Roman"/>
          <w:lang w:eastAsia="en-AU"/>
        </w:rPr>
        <w:t>seek help from a local area coordinator (LAC</w:t>
      </w:r>
      <w:r>
        <w:rPr>
          <w:rFonts w:eastAsia="Times New Roman"/>
          <w:lang w:eastAsia="en-AU"/>
        </w:rPr>
        <w:t>) or a</w:t>
      </w:r>
      <w:r w:rsidRPr="3DFFC190">
        <w:rPr>
          <w:rFonts w:eastAsia="Times New Roman"/>
          <w:lang w:eastAsia="en-AU"/>
        </w:rPr>
        <w:t xml:space="preserve"> support coordinator </w:t>
      </w:r>
      <w:r>
        <w:rPr>
          <w:rFonts w:eastAsia="Times New Roman"/>
          <w:lang w:eastAsia="en-AU"/>
        </w:rPr>
        <w:t xml:space="preserve">to find and connect with </w:t>
      </w:r>
      <w:r>
        <w:rPr>
          <w:rFonts w:eastAsia="Times New Roman"/>
          <w:lang w:eastAsia="en-AU"/>
        </w:rPr>
        <w:lastRenderedPageBreak/>
        <w:t>funded and mainstream supports. I</w:t>
      </w:r>
      <w:r w:rsidRPr="3DFFC190">
        <w:rPr>
          <w:rFonts w:eastAsia="Times New Roman"/>
          <w:lang w:eastAsia="en-AU"/>
        </w:rPr>
        <w:t>n some instances, their plan manager</w:t>
      </w:r>
      <w:r>
        <w:rPr>
          <w:rFonts w:eastAsia="Times New Roman"/>
          <w:lang w:eastAsia="en-AU"/>
        </w:rPr>
        <w:t xml:space="preserve"> can also help</w:t>
      </w:r>
      <w:r w:rsidRPr="3DFFC190">
        <w:rPr>
          <w:rFonts w:eastAsia="Times New Roman"/>
          <w:lang w:eastAsia="en-AU"/>
        </w:rPr>
        <w:t xml:space="preserve"> to find and connect with </w:t>
      </w:r>
      <w:r>
        <w:rPr>
          <w:rFonts w:eastAsia="Times New Roman"/>
          <w:lang w:eastAsia="en-AU"/>
        </w:rPr>
        <w:t>service providers</w:t>
      </w:r>
      <w:r w:rsidRPr="3DFFC190">
        <w:rPr>
          <w:rFonts w:eastAsia="Times New Roman"/>
          <w:lang w:eastAsia="en-AU"/>
        </w:rPr>
        <w:t>.</w:t>
      </w:r>
      <w:r>
        <w:rPr>
          <w:rStyle w:val="EndnoteReference"/>
          <w:rFonts w:eastAsia="Times New Roman"/>
          <w:lang w:eastAsia="en-AU"/>
        </w:rPr>
        <w:endnoteReference w:id="19"/>
      </w:r>
      <w:r w:rsidRPr="3DFFC190">
        <w:rPr>
          <w:rFonts w:eastAsia="Times New Roman"/>
          <w:lang w:eastAsia="en-AU"/>
        </w:rPr>
        <w:t xml:space="preserve">  </w:t>
      </w:r>
    </w:p>
    <w:p w14:paraId="65FB56FD" w14:textId="77777777" w:rsidR="00994634" w:rsidRPr="00E239E6" w:rsidRDefault="00994634" w:rsidP="00994634">
      <w:pPr>
        <w:rPr>
          <w:rFonts w:eastAsia="Times New Roman" w:cstheme="minorHAnsi"/>
          <w:lang w:eastAsia="en-AU"/>
        </w:rPr>
      </w:pPr>
      <w:r w:rsidRPr="00E239E6">
        <w:rPr>
          <w:rFonts w:eastAsia="Times New Roman" w:cstheme="minorHAnsi"/>
          <w:lang w:eastAsia="en-AU"/>
        </w:rPr>
        <w:t xml:space="preserve">How well this currently works for participants is highly variable. </w:t>
      </w:r>
    </w:p>
    <w:p w14:paraId="7645105B" w14:textId="77777777" w:rsidR="00994634" w:rsidRPr="00994634" w:rsidRDefault="00994634" w:rsidP="00994634">
      <w:pPr>
        <w:pStyle w:val="Quote"/>
      </w:pPr>
      <w:r>
        <w:t>‘</w:t>
      </w:r>
      <w:r w:rsidRPr="00994634">
        <w:rPr>
          <w:b/>
          <w:color w:val="8F578F" w:themeColor="text2" w:themeShade="BF"/>
        </w:rPr>
        <w:t>Huge amount of stress and time experienced when dealing with the NDIS ….</w:t>
      </w:r>
      <w:r w:rsidRPr="00994634">
        <w:rPr>
          <w:color w:val="8F578F" w:themeColor="text2" w:themeShade="BF"/>
        </w:rPr>
        <w:t xml:space="preserve"> </w:t>
      </w:r>
      <w:r w:rsidRPr="00994634">
        <w:t>Difficulty accessing services because LACs won’t recommend them, only provide a long list of possible providers when the person with the disabi</w:t>
      </w:r>
      <w:r>
        <w:t>lity can’t read/contact people.’</w:t>
      </w:r>
      <w:r w:rsidRPr="00994634">
        <w:t xml:space="preserve"> </w:t>
      </w:r>
      <w:r w:rsidRPr="00994634">
        <w:tab/>
      </w:r>
    </w:p>
    <w:p w14:paraId="52917B34" w14:textId="77777777" w:rsidR="00994634" w:rsidRPr="00994634" w:rsidRDefault="00994634" w:rsidP="00994634">
      <w:pPr>
        <w:pStyle w:val="Quote"/>
      </w:pPr>
      <w:r w:rsidRPr="00994634">
        <w:t>– Naomi, Carer of NDIS participant</w:t>
      </w:r>
      <w:r w:rsidRPr="00994634">
        <w:rPr>
          <w:rStyle w:val="EndnoteReference"/>
        </w:rPr>
        <w:endnoteReference w:id="20"/>
      </w:r>
    </w:p>
    <w:p w14:paraId="32305561" w14:textId="77777777" w:rsidR="00994634" w:rsidRDefault="00994634" w:rsidP="00994634">
      <w:pPr>
        <w:rPr>
          <w:rFonts w:eastAsia="Times New Roman" w:cstheme="minorHAnsi"/>
          <w:lang w:eastAsia="en-AU"/>
        </w:rPr>
      </w:pPr>
      <w:r w:rsidRPr="00E239E6">
        <w:rPr>
          <w:rFonts w:eastAsia="Times New Roman" w:cstheme="minorHAnsi"/>
          <w:lang w:eastAsia="en-AU"/>
        </w:rPr>
        <w:t xml:space="preserve">Some providers have adopted online-based or technology-backed solutions to reduce </w:t>
      </w:r>
      <w:r>
        <w:rPr>
          <w:rFonts w:eastAsia="Times New Roman" w:cstheme="minorHAnsi"/>
          <w:lang w:eastAsia="en-AU"/>
        </w:rPr>
        <w:t>‘</w:t>
      </w:r>
      <w:r w:rsidRPr="00E239E6">
        <w:rPr>
          <w:rFonts w:eastAsia="Times New Roman" w:cstheme="minorHAnsi"/>
          <w:lang w:eastAsia="en-AU"/>
        </w:rPr>
        <w:t>search costs</w:t>
      </w:r>
      <w:r>
        <w:rPr>
          <w:rFonts w:eastAsia="Times New Roman" w:cstheme="minorHAnsi"/>
          <w:lang w:eastAsia="en-AU"/>
        </w:rPr>
        <w:t>’</w:t>
      </w:r>
      <w:r w:rsidRPr="00E239E6">
        <w:rPr>
          <w:rFonts w:eastAsia="Times New Roman" w:cstheme="minorHAnsi"/>
          <w:lang w:eastAsia="en-AU"/>
        </w:rPr>
        <w:t xml:space="preserve"> for participants.</w:t>
      </w:r>
      <w:r w:rsidRPr="00E239E6">
        <w:rPr>
          <w:rStyle w:val="EndnoteReference"/>
          <w:rFonts w:eastAsia="Times New Roman" w:cstheme="minorHAnsi"/>
          <w:lang w:eastAsia="en-AU"/>
        </w:rPr>
        <w:endnoteReference w:id="21"/>
      </w:r>
    </w:p>
    <w:p w14:paraId="03483BC4" w14:textId="77777777" w:rsidR="00994634" w:rsidRPr="00B74677" w:rsidRDefault="00994634" w:rsidP="00994634">
      <w:pPr>
        <w:rPr>
          <w:rFonts w:eastAsia="Times New Roman"/>
          <w:lang w:eastAsia="en-AU"/>
        </w:rPr>
      </w:pPr>
      <w:r w:rsidRPr="3DFFC190">
        <w:rPr>
          <w:rFonts w:eastAsia="Times New Roman"/>
          <w:lang w:eastAsia="en-AU"/>
        </w:rPr>
        <w:t xml:space="preserve">Some </w:t>
      </w:r>
      <w:r>
        <w:rPr>
          <w:rFonts w:eastAsia="Times New Roman"/>
          <w:lang w:eastAsia="en-AU"/>
        </w:rPr>
        <w:t xml:space="preserve">online </w:t>
      </w:r>
      <w:r w:rsidRPr="3DFFC190">
        <w:rPr>
          <w:rFonts w:eastAsia="Times New Roman"/>
          <w:lang w:eastAsia="en-AU"/>
        </w:rPr>
        <w:t>platforms help participants find and match with support workers or service providers</w:t>
      </w:r>
      <w:r>
        <w:rPr>
          <w:rFonts w:eastAsia="Times New Roman"/>
          <w:lang w:eastAsia="en-AU"/>
        </w:rPr>
        <w:t>, while ot</w:t>
      </w:r>
      <w:r w:rsidRPr="3DFFC190">
        <w:rPr>
          <w:rFonts w:eastAsia="Times New Roman"/>
          <w:lang w:eastAsia="en-AU"/>
        </w:rPr>
        <w:t xml:space="preserve">hers </w:t>
      </w:r>
      <w:r>
        <w:rPr>
          <w:rFonts w:eastAsia="Times New Roman"/>
          <w:lang w:eastAsia="en-AU"/>
        </w:rPr>
        <w:t>include</w:t>
      </w:r>
      <w:r w:rsidRPr="3DFFC190">
        <w:rPr>
          <w:rFonts w:eastAsia="Times New Roman"/>
          <w:lang w:eastAsia="en-AU"/>
        </w:rPr>
        <w:t xml:space="preserve"> </w:t>
      </w:r>
      <w:r>
        <w:rPr>
          <w:rFonts w:eastAsia="Times New Roman"/>
          <w:lang w:eastAsia="en-AU"/>
        </w:rPr>
        <w:t xml:space="preserve">forums </w:t>
      </w:r>
      <w:r w:rsidRPr="3DFFC190">
        <w:rPr>
          <w:rFonts w:eastAsia="Times New Roman"/>
          <w:lang w:eastAsia="en-AU"/>
        </w:rPr>
        <w:t xml:space="preserve">for participants to share </w:t>
      </w:r>
      <w:r>
        <w:rPr>
          <w:rFonts w:eastAsia="Times New Roman"/>
          <w:lang w:eastAsia="en-AU"/>
        </w:rPr>
        <w:t>their</w:t>
      </w:r>
      <w:r w:rsidRPr="3DFFC190">
        <w:rPr>
          <w:rFonts w:eastAsia="Times New Roman"/>
          <w:lang w:eastAsia="en-AU"/>
        </w:rPr>
        <w:t xml:space="preserve"> experiences.</w:t>
      </w:r>
      <w:r>
        <w:t xml:space="preserve"> </w:t>
      </w:r>
      <w:r>
        <w:rPr>
          <w:rFonts w:eastAsia="Times New Roman"/>
          <w:lang w:eastAsia="en-AU"/>
        </w:rPr>
        <w:t xml:space="preserve">Some </w:t>
      </w:r>
      <w:r w:rsidRPr="3DFFC190">
        <w:rPr>
          <w:rFonts w:eastAsia="Times New Roman"/>
          <w:lang w:eastAsia="en-AU"/>
        </w:rPr>
        <w:t xml:space="preserve">of these platforms </w:t>
      </w:r>
      <w:r>
        <w:rPr>
          <w:rFonts w:eastAsia="Times New Roman"/>
          <w:lang w:eastAsia="en-AU"/>
        </w:rPr>
        <w:t xml:space="preserve">also </w:t>
      </w:r>
      <w:r w:rsidRPr="3DFFC190">
        <w:rPr>
          <w:rFonts w:eastAsia="Times New Roman"/>
          <w:lang w:eastAsia="en-AU"/>
        </w:rPr>
        <w:t>capture and share information on prices and participant feedback on the quality of services, to allow for easier comparison.</w:t>
      </w:r>
      <w:r>
        <w:rPr>
          <w:rFonts w:eastAsia="Times New Roman"/>
          <w:lang w:eastAsia="en-AU"/>
        </w:rPr>
        <w:t xml:space="preserve"> How quality and safeguarding arrangements apply to providers (including platform providers) will be explored as part of the broader Review. </w:t>
      </w:r>
    </w:p>
    <w:p w14:paraId="0529734C" w14:textId="77777777" w:rsidR="00994634" w:rsidRPr="00601B08" w:rsidRDefault="00994634" w:rsidP="00994634">
      <w:pPr>
        <w:pStyle w:val="Heading4"/>
        <w:rPr>
          <w:rFonts w:eastAsia="Times New Roman"/>
          <w:lang w:eastAsia="en-AU"/>
        </w:rPr>
      </w:pPr>
      <w:r w:rsidRPr="00601B08">
        <w:rPr>
          <w:rFonts w:eastAsia="Times New Roman"/>
          <w:lang w:eastAsia="en-AU"/>
        </w:rPr>
        <w:t>Participants need to get the mix of supports that are right for their needs</w:t>
      </w:r>
    </w:p>
    <w:p w14:paraId="2238DAB8" w14:textId="77777777" w:rsidR="00994634" w:rsidRPr="002877C5" w:rsidRDefault="002877C5" w:rsidP="002877C5">
      <w:pPr>
        <w:pStyle w:val="Quote"/>
      </w:pPr>
      <w:r>
        <w:t>‘</w:t>
      </w:r>
      <w:r w:rsidR="00994634" w:rsidRPr="002877C5">
        <w:t xml:space="preserve">There is </w:t>
      </w:r>
      <w:r w:rsidR="00994634" w:rsidRPr="002877C5">
        <w:rPr>
          <w:b/>
          <w:color w:val="8F578F" w:themeColor="text2" w:themeShade="BF"/>
        </w:rPr>
        <w:t>no consistency and I get a different answer every time I ask a different person</w:t>
      </w:r>
      <w:r w:rsidR="00994634" w:rsidRPr="002877C5">
        <w:t xml:space="preserve">. Your LACs are not trained properly … The NDIS is so overly complicated that I need to pay a Plan Manager (way too expensive) and a support coordinator (also </w:t>
      </w:r>
      <w:r>
        <w:t>expensive) to help me navigate.’</w:t>
      </w:r>
    </w:p>
    <w:p w14:paraId="7A2B8079" w14:textId="77777777" w:rsidR="00994634" w:rsidRPr="002877C5" w:rsidRDefault="00994634" w:rsidP="002877C5">
      <w:pPr>
        <w:pStyle w:val="Quote"/>
      </w:pPr>
      <w:r w:rsidRPr="002877C5">
        <w:t>– Anonymous, Carer of NDIS Participant</w:t>
      </w:r>
      <w:r w:rsidRPr="002877C5">
        <w:rPr>
          <w:rStyle w:val="EndnoteReference"/>
        </w:rPr>
        <w:endnoteReference w:id="22"/>
      </w:r>
    </w:p>
    <w:p w14:paraId="71ECA963" w14:textId="77777777" w:rsidR="00994634" w:rsidRDefault="00994634" w:rsidP="00994634">
      <w:pPr>
        <w:rPr>
          <w:rFonts w:cstheme="minorHAnsi"/>
          <w:lang w:eastAsia="en-AU"/>
        </w:rPr>
      </w:pPr>
      <w:r>
        <w:rPr>
          <w:rFonts w:eastAsia="Times New Roman" w:cstheme="minorHAnsi"/>
          <w:lang w:eastAsia="en-AU"/>
        </w:rPr>
        <w:t>Th</w:t>
      </w:r>
      <w:r w:rsidRPr="00E239E6">
        <w:rPr>
          <w:rFonts w:eastAsia="Times New Roman" w:cstheme="minorHAnsi"/>
          <w:lang w:eastAsia="en-AU"/>
        </w:rPr>
        <w:t xml:space="preserve">e biggest challenges for participants are </w:t>
      </w:r>
      <w:r w:rsidRPr="00E239E6">
        <w:rPr>
          <w:rFonts w:cstheme="minorHAnsi"/>
          <w:lang w:eastAsia="en-AU"/>
        </w:rPr>
        <w:t>knowing what supports could be purchased and arranging these supports</w:t>
      </w:r>
      <w:r>
        <w:rPr>
          <w:rFonts w:cstheme="minorHAnsi"/>
          <w:lang w:eastAsia="en-AU"/>
        </w:rPr>
        <w:t xml:space="preserve">. </w:t>
      </w:r>
    </w:p>
    <w:p w14:paraId="1F2B3420" w14:textId="77777777" w:rsidR="00994634" w:rsidRPr="004B14A8" w:rsidRDefault="00994634" w:rsidP="00994634">
      <w:r>
        <w:rPr>
          <w:rFonts w:cstheme="minorHAnsi"/>
          <w:lang w:eastAsia="en-AU"/>
        </w:rPr>
        <w:lastRenderedPageBreak/>
        <w:t>E</w:t>
      </w:r>
      <w:r w:rsidRPr="00E239E6">
        <w:rPr>
          <w:rFonts w:cstheme="minorHAnsi"/>
          <w:lang w:eastAsia="en-AU"/>
        </w:rPr>
        <w:t>ven self-managing participants</w:t>
      </w:r>
      <w:r>
        <w:rPr>
          <w:rFonts w:cstheme="minorHAnsi"/>
          <w:lang w:eastAsia="en-AU"/>
        </w:rPr>
        <w:t>, or the people who self-manage on their behalf, find this difficult.</w:t>
      </w:r>
      <w:r w:rsidRPr="00E239E6">
        <w:rPr>
          <w:rFonts w:cstheme="minorHAnsi"/>
          <w:lang w:eastAsia="en-AU"/>
        </w:rPr>
        <w:t xml:space="preserve"> </w:t>
      </w:r>
      <w:bookmarkStart w:id="125" w:name="_Ref131157523"/>
      <w:r w:rsidRPr="004B14A8">
        <w:t>In early 2022, the two biggest challenges for self-managing participants surveyed were ‘Knowing what can be purchased’ (reported by around four in five participants) and ‘Finding / arranging supports’ (reported by around three in four participants).</w:t>
      </w:r>
      <w:r w:rsidRPr="004B14A8">
        <w:rPr>
          <w:rStyle w:val="EndnoteReference"/>
          <w:rFonts w:cstheme="minorHAnsi"/>
        </w:rPr>
        <w:endnoteReference w:id="23"/>
      </w:r>
      <w:bookmarkEnd w:id="125"/>
    </w:p>
    <w:p w14:paraId="577B7E86" w14:textId="77777777" w:rsidR="00994634" w:rsidRPr="00E239E6" w:rsidRDefault="00994634" w:rsidP="00994634">
      <w:pPr>
        <w:rPr>
          <w:rFonts w:eastAsia="Times New Roman"/>
          <w:lang w:eastAsia="en-AU"/>
        </w:rPr>
      </w:pPr>
      <w:r w:rsidRPr="3DFFC190">
        <w:rPr>
          <w:rFonts w:eastAsia="Times New Roman"/>
          <w:lang w:eastAsia="en-AU"/>
        </w:rPr>
        <w:t>Less than half of NDIS participants receive funding for support coordination to help them arrange supports.</w:t>
      </w:r>
      <w:r w:rsidRPr="3DFFC190">
        <w:rPr>
          <w:rStyle w:val="EndnoteReference"/>
          <w:rFonts w:eastAsia="Times New Roman"/>
          <w:lang w:eastAsia="en-AU"/>
        </w:rPr>
        <w:endnoteReference w:id="24"/>
      </w:r>
      <w:r>
        <w:rPr>
          <w:rFonts w:eastAsia="Times New Roman"/>
          <w:lang w:eastAsia="en-AU"/>
        </w:rPr>
        <w:t xml:space="preserve"> While not all participants will require support coordination, t</w:t>
      </w:r>
      <w:r w:rsidRPr="3DFFC190">
        <w:rPr>
          <w:rFonts w:eastAsia="Times New Roman"/>
          <w:lang w:eastAsia="en-AU"/>
        </w:rPr>
        <w:t>he basis</w:t>
      </w:r>
      <w:r>
        <w:rPr>
          <w:rFonts w:eastAsia="Times New Roman"/>
          <w:lang w:eastAsia="en-AU"/>
        </w:rPr>
        <w:t xml:space="preserve"> on which participants are funded for </w:t>
      </w:r>
      <w:r w:rsidRPr="3DFFC190">
        <w:rPr>
          <w:rFonts w:eastAsia="Times New Roman"/>
          <w:lang w:eastAsia="en-AU"/>
        </w:rPr>
        <w:t>support coordination is unclear</w:t>
      </w:r>
      <w:r>
        <w:rPr>
          <w:rFonts w:eastAsia="Times New Roman"/>
          <w:lang w:eastAsia="en-AU"/>
        </w:rPr>
        <w:t>.</w:t>
      </w:r>
      <w:r w:rsidRPr="3DFFC190">
        <w:rPr>
          <w:rFonts w:eastAsia="Times New Roman"/>
          <w:lang w:eastAsia="en-AU"/>
        </w:rPr>
        <w:t xml:space="preserve"> </w:t>
      </w:r>
    </w:p>
    <w:p w14:paraId="37B1BEC9" w14:textId="77777777" w:rsidR="00994634" w:rsidRDefault="00994634" w:rsidP="00994634">
      <w:pPr>
        <w:rPr>
          <w:rFonts w:eastAsia="Times New Roman" w:cstheme="minorHAnsi"/>
          <w:lang w:eastAsia="en-AU"/>
        </w:rPr>
      </w:pPr>
      <w:r w:rsidRPr="00E239E6">
        <w:rPr>
          <w:rFonts w:eastAsia="Times New Roman" w:cstheme="minorHAnsi"/>
          <w:lang w:eastAsia="en-AU"/>
        </w:rPr>
        <w:t xml:space="preserve">Funding </w:t>
      </w:r>
      <w:r>
        <w:rPr>
          <w:rFonts w:eastAsia="Times New Roman" w:cstheme="minorHAnsi"/>
          <w:lang w:eastAsia="en-AU"/>
        </w:rPr>
        <w:t xml:space="preserve">for plan management </w:t>
      </w:r>
      <w:r w:rsidRPr="00E239E6">
        <w:rPr>
          <w:rFonts w:eastAsia="Times New Roman" w:cstheme="minorHAnsi"/>
          <w:lang w:eastAsia="en-AU"/>
        </w:rPr>
        <w:t xml:space="preserve">may also be included </w:t>
      </w:r>
      <w:r>
        <w:rPr>
          <w:rFonts w:eastAsia="Times New Roman" w:cstheme="minorHAnsi"/>
          <w:lang w:eastAsia="en-AU"/>
        </w:rPr>
        <w:t>in participants’ budgets if they wish</w:t>
      </w:r>
      <w:r w:rsidRPr="00E239E6">
        <w:rPr>
          <w:rFonts w:eastAsia="Times New Roman" w:cstheme="minorHAnsi"/>
          <w:lang w:eastAsia="en-AU"/>
        </w:rPr>
        <w:t xml:space="preserve"> to use a plan manager to help them pay for services and monitor their </w:t>
      </w:r>
      <w:r>
        <w:rPr>
          <w:rFonts w:eastAsia="Times New Roman" w:cstheme="minorHAnsi"/>
          <w:lang w:eastAsia="en-AU"/>
        </w:rPr>
        <w:t>budgets</w:t>
      </w:r>
      <w:r w:rsidRPr="00E239E6">
        <w:rPr>
          <w:rFonts w:eastAsia="Times New Roman" w:cstheme="minorHAnsi"/>
          <w:lang w:eastAsia="en-AU"/>
        </w:rPr>
        <w:t xml:space="preserve">. Some plan managers have </w:t>
      </w:r>
      <w:r>
        <w:rPr>
          <w:rFonts w:eastAsia="Times New Roman" w:cstheme="minorHAnsi"/>
          <w:lang w:eastAsia="en-AU"/>
        </w:rPr>
        <w:t>used</w:t>
      </w:r>
      <w:r w:rsidRPr="00E239E6">
        <w:rPr>
          <w:rFonts w:eastAsia="Times New Roman" w:cstheme="minorHAnsi"/>
          <w:lang w:eastAsia="en-AU"/>
        </w:rPr>
        <w:t xml:space="preserve"> their visibility over the unregistered provider</w:t>
      </w:r>
      <w:r>
        <w:rPr>
          <w:rFonts w:eastAsia="Times New Roman" w:cstheme="minorHAnsi"/>
          <w:lang w:eastAsia="en-AU"/>
        </w:rPr>
        <w:t>s in the NDIS</w:t>
      </w:r>
      <w:r w:rsidRPr="00E239E6">
        <w:rPr>
          <w:rFonts w:eastAsia="Times New Roman" w:cstheme="minorHAnsi"/>
          <w:lang w:eastAsia="en-AU"/>
        </w:rPr>
        <w:t xml:space="preserve"> market to </w:t>
      </w:r>
      <w:r>
        <w:rPr>
          <w:rFonts w:eastAsia="Times New Roman" w:cstheme="minorHAnsi"/>
          <w:lang w:eastAsia="en-AU"/>
        </w:rPr>
        <w:t>develop platforms (such as Kinora and Hey Hubble) that help</w:t>
      </w:r>
      <w:r w:rsidRPr="00E239E6">
        <w:rPr>
          <w:rFonts w:eastAsia="Times New Roman" w:cstheme="minorHAnsi"/>
          <w:lang w:eastAsia="en-AU"/>
        </w:rPr>
        <w:t xml:space="preserve"> participants find and connect with </w:t>
      </w:r>
      <w:r>
        <w:rPr>
          <w:rFonts w:eastAsia="Times New Roman" w:cstheme="minorHAnsi"/>
          <w:lang w:eastAsia="en-AU"/>
        </w:rPr>
        <w:t xml:space="preserve">suitable </w:t>
      </w:r>
      <w:r w:rsidRPr="00E239E6">
        <w:rPr>
          <w:rFonts w:eastAsia="Times New Roman" w:cstheme="minorHAnsi"/>
          <w:lang w:eastAsia="en-AU"/>
        </w:rPr>
        <w:t>service providers.</w:t>
      </w:r>
    </w:p>
    <w:p w14:paraId="38F0F245" w14:textId="77777777" w:rsidR="00994634" w:rsidRPr="00E239E6" w:rsidRDefault="00994634" w:rsidP="00994634">
      <w:pPr>
        <w:rPr>
          <w:rFonts w:eastAsia="Times New Roman" w:cstheme="minorHAnsi"/>
          <w:lang w:eastAsia="en-AU"/>
        </w:rPr>
      </w:pPr>
      <w:r>
        <w:rPr>
          <w:rFonts w:eastAsia="Times New Roman" w:cstheme="minorHAnsi"/>
          <w:lang w:eastAsia="en-AU"/>
        </w:rPr>
        <w:t>However, t</w:t>
      </w:r>
      <w:r w:rsidRPr="00E239E6">
        <w:rPr>
          <w:rFonts w:eastAsia="Times New Roman" w:cstheme="minorHAnsi"/>
          <w:lang w:eastAsia="en-AU"/>
        </w:rPr>
        <w:t xml:space="preserve">here is confusion about </w:t>
      </w:r>
      <w:r>
        <w:rPr>
          <w:rFonts w:eastAsia="Times New Roman" w:cstheme="minorHAnsi"/>
          <w:lang w:eastAsia="en-AU"/>
        </w:rPr>
        <w:t xml:space="preserve">the roles and responsibilities of different market intermediaries </w:t>
      </w:r>
      <w:r w:rsidRPr="00D11925">
        <w:rPr>
          <w:rFonts w:eastAsia="Times New Roman" w:cstheme="minorHAnsi"/>
          <w:lang w:eastAsia="en-AU"/>
        </w:rPr>
        <w:t>in helping participants</w:t>
      </w:r>
      <w:r w:rsidRPr="002A5254">
        <w:rPr>
          <w:rFonts w:eastAsia="Times New Roman" w:cstheme="minorHAnsi"/>
          <w:b/>
          <w:lang w:eastAsia="en-AU"/>
        </w:rPr>
        <w:t xml:space="preserve"> </w:t>
      </w:r>
      <w:r w:rsidRPr="00E239E6">
        <w:rPr>
          <w:rFonts w:eastAsia="Times New Roman" w:cstheme="minorHAnsi"/>
          <w:lang w:eastAsia="en-AU"/>
        </w:rPr>
        <w:t>navigate the NDIS</w:t>
      </w:r>
      <w:r>
        <w:rPr>
          <w:rFonts w:eastAsia="Times New Roman" w:cstheme="minorHAnsi"/>
          <w:lang w:eastAsia="en-AU"/>
        </w:rPr>
        <w:t xml:space="preserve"> and access supports</w:t>
      </w:r>
      <w:r w:rsidRPr="00E239E6">
        <w:rPr>
          <w:rFonts w:eastAsia="Times New Roman" w:cstheme="minorHAnsi"/>
          <w:lang w:eastAsia="en-AU"/>
        </w:rPr>
        <w:t>.</w:t>
      </w:r>
      <w:r w:rsidRPr="3DFFC190">
        <w:rPr>
          <w:rStyle w:val="EndnoteReference"/>
        </w:rPr>
        <w:endnoteReference w:id="25"/>
      </w:r>
      <w:r>
        <w:rPr>
          <w:rFonts w:eastAsia="Times New Roman" w:cstheme="minorHAnsi"/>
          <w:lang w:eastAsia="en-AU"/>
        </w:rPr>
        <w:t xml:space="preserve"> </w:t>
      </w:r>
      <w:r>
        <w:rPr>
          <w:rFonts w:cstheme="minorHAnsi"/>
        </w:rPr>
        <w:t>This</w:t>
      </w:r>
      <w:r w:rsidRPr="00E239E6">
        <w:rPr>
          <w:rFonts w:eastAsia="Times New Roman" w:cstheme="minorHAnsi"/>
          <w:lang w:eastAsia="en-AU"/>
        </w:rPr>
        <w:t xml:space="preserve"> is further exacerbating participant confusion about how their NDIS funding can be used.</w:t>
      </w:r>
    </w:p>
    <w:p w14:paraId="0E8B2553" w14:textId="77777777" w:rsidR="00994634" w:rsidRPr="002877C5" w:rsidRDefault="002877C5" w:rsidP="002877C5">
      <w:pPr>
        <w:pStyle w:val="Quote"/>
      </w:pPr>
      <w:r>
        <w:t>‘</w:t>
      </w:r>
      <w:r w:rsidR="00994634" w:rsidRPr="002877C5">
        <w:t>… LACs do not seem to have the time, inclination or skill to support people to build capacity to understand their NDIS plans, the scheme, how to work with providers (safeguarding). It is not unusual for a participant or nominee without support coordination funding to come to me for plan management services halfway through their plan, having not engaged with anyone, because they have no idea what to do, or where to go, and have not received any support fr</w:t>
      </w:r>
      <w:r>
        <w:t>om the LAC or ECEI coordinator.’</w:t>
      </w:r>
    </w:p>
    <w:p w14:paraId="0B2395FB" w14:textId="77777777" w:rsidR="00994634" w:rsidRPr="002877C5" w:rsidRDefault="00994634" w:rsidP="002877C5">
      <w:pPr>
        <w:pStyle w:val="Quote"/>
      </w:pPr>
      <w:r w:rsidRPr="002877C5">
        <w:t>– Anonymous, NDIS Provider</w:t>
      </w:r>
      <w:r w:rsidRPr="002877C5">
        <w:rPr>
          <w:rStyle w:val="EndnoteReference"/>
        </w:rPr>
        <w:endnoteReference w:id="26"/>
      </w:r>
    </w:p>
    <w:p w14:paraId="6F3D73D4" w14:textId="77777777" w:rsidR="00994634" w:rsidRDefault="00994634" w:rsidP="00994634">
      <w:pPr>
        <w:rPr>
          <w:rFonts w:eastAsia="Times New Roman"/>
          <w:lang w:eastAsia="en-AU"/>
        </w:rPr>
      </w:pPr>
      <w:r w:rsidRPr="3DFFC190">
        <w:rPr>
          <w:rFonts w:eastAsia="Times New Roman"/>
          <w:lang w:eastAsia="en-AU"/>
        </w:rPr>
        <w:lastRenderedPageBreak/>
        <w:t xml:space="preserve">Some participants, providers and other stakeholders have </w:t>
      </w:r>
      <w:r>
        <w:rPr>
          <w:rFonts w:eastAsia="Times New Roman"/>
          <w:lang w:eastAsia="en-AU"/>
        </w:rPr>
        <w:t xml:space="preserve">also </w:t>
      </w:r>
      <w:r w:rsidRPr="3DFFC190">
        <w:rPr>
          <w:rFonts w:eastAsia="Times New Roman"/>
          <w:lang w:eastAsia="en-AU"/>
        </w:rPr>
        <w:t xml:space="preserve">raised concerns </w:t>
      </w:r>
      <w:r>
        <w:rPr>
          <w:rFonts w:eastAsia="Times New Roman"/>
          <w:lang w:eastAsia="en-AU"/>
        </w:rPr>
        <w:t>around</w:t>
      </w:r>
      <w:r w:rsidRPr="3DFFC190">
        <w:rPr>
          <w:rFonts w:eastAsia="Times New Roman"/>
          <w:lang w:eastAsia="en-AU"/>
        </w:rPr>
        <w:t xml:space="preserve"> </w:t>
      </w:r>
      <w:r>
        <w:rPr>
          <w:rFonts w:eastAsia="Times New Roman"/>
          <w:lang w:eastAsia="en-AU"/>
        </w:rPr>
        <w:t xml:space="preserve">the potential </w:t>
      </w:r>
      <w:r w:rsidRPr="3DFFC190">
        <w:rPr>
          <w:rFonts w:eastAsia="Times New Roman"/>
          <w:lang w:eastAsia="en-AU"/>
        </w:rPr>
        <w:t xml:space="preserve">conflict of interests </w:t>
      </w:r>
      <w:r>
        <w:rPr>
          <w:rFonts w:eastAsia="Times New Roman"/>
          <w:lang w:eastAsia="en-AU"/>
        </w:rPr>
        <w:t>for</w:t>
      </w:r>
      <w:r w:rsidRPr="3DFFC190">
        <w:rPr>
          <w:rFonts w:eastAsia="Times New Roman"/>
          <w:lang w:eastAsia="en-AU"/>
        </w:rPr>
        <w:t xml:space="preserve"> support coordinators</w:t>
      </w:r>
      <w:r>
        <w:rPr>
          <w:rStyle w:val="EndnoteReference"/>
          <w:rFonts w:eastAsia="Times New Roman"/>
          <w:lang w:eastAsia="en-AU"/>
        </w:rPr>
        <w:endnoteReference w:id="27"/>
      </w:r>
      <w:r>
        <w:rPr>
          <w:rFonts w:eastAsia="Times New Roman"/>
          <w:lang w:eastAsia="en-AU"/>
        </w:rPr>
        <w:t xml:space="preserve"> and, to a lesser extent, plan managers. This includes </w:t>
      </w:r>
      <w:r w:rsidRPr="00515FAD">
        <w:rPr>
          <w:rFonts w:eastAsia="Times New Roman"/>
          <w:lang w:eastAsia="en-AU"/>
        </w:rPr>
        <w:t>concern</w:t>
      </w:r>
      <w:r>
        <w:rPr>
          <w:rFonts w:eastAsia="Times New Roman"/>
          <w:lang w:eastAsia="en-AU"/>
        </w:rPr>
        <w:t xml:space="preserve">s </w:t>
      </w:r>
      <w:r w:rsidRPr="00515FAD">
        <w:rPr>
          <w:rFonts w:eastAsia="Times New Roman"/>
          <w:lang w:eastAsia="en-AU"/>
        </w:rPr>
        <w:t>about ‘</w:t>
      </w:r>
      <w:r>
        <w:rPr>
          <w:rFonts w:eastAsia="Times New Roman"/>
          <w:lang w:eastAsia="en-AU"/>
        </w:rPr>
        <w:t>provider capture</w:t>
      </w:r>
      <w:r w:rsidRPr="00515FAD">
        <w:rPr>
          <w:rFonts w:eastAsia="Times New Roman"/>
          <w:lang w:eastAsia="en-AU"/>
        </w:rPr>
        <w:t>’</w:t>
      </w:r>
      <w:r>
        <w:rPr>
          <w:rFonts w:eastAsia="Times New Roman"/>
          <w:lang w:eastAsia="en-AU"/>
        </w:rPr>
        <w:t xml:space="preserve"> </w:t>
      </w:r>
      <w:r w:rsidRPr="00515FAD">
        <w:rPr>
          <w:rFonts w:eastAsia="Times New Roman"/>
          <w:lang w:eastAsia="en-AU"/>
        </w:rPr>
        <w:t xml:space="preserve">which </w:t>
      </w:r>
      <w:r>
        <w:rPr>
          <w:rFonts w:eastAsia="Times New Roman"/>
          <w:lang w:eastAsia="en-AU"/>
        </w:rPr>
        <w:t xml:space="preserve">may increase participants’ </w:t>
      </w:r>
      <w:r w:rsidRPr="00515FAD">
        <w:rPr>
          <w:rFonts w:eastAsia="Times New Roman"/>
          <w:lang w:eastAsia="en-AU"/>
        </w:rPr>
        <w:t>vulnerability to potent</w:t>
      </w:r>
      <w:r>
        <w:rPr>
          <w:rFonts w:eastAsia="Times New Roman"/>
          <w:lang w:eastAsia="en-AU"/>
        </w:rPr>
        <w:t>ial harm, abuse, neglect or</w:t>
      </w:r>
      <w:r w:rsidRPr="00515FAD">
        <w:rPr>
          <w:rFonts w:eastAsia="Times New Roman"/>
          <w:lang w:eastAsia="en-AU"/>
        </w:rPr>
        <w:t xml:space="preserve"> exploitation</w:t>
      </w:r>
      <w:r>
        <w:rPr>
          <w:rFonts w:eastAsia="Times New Roman"/>
          <w:lang w:eastAsia="en-AU"/>
        </w:rPr>
        <w:t>.</w:t>
      </w:r>
      <w:r w:rsidRPr="00515FAD">
        <w:rPr>
          <w:rStyle w:val="EndnoteReference"/>
          <w:rFonts w:eastAsia="Times New Roman"/>
          <w:lang w:eastAsia="en-AU"/>
        </w:rPr>
        <w:endnoteReference w:id="28"/>
      </w:r>
      <w:r>
        <w:rPr>
          <w:rFonts w:eastAsia="Times New Roman"/>
          <w:lang w:eastAsia="en-AU"/>
        </w:rPr>
        <w:t xml:space="preserve"> Other participants value the choice and benefit of being able to choose a single provider who can deliver their supports.</w:t>
      </w:r>
    </w:p>
    <w:p w14:paraId="23918E51" w14:textId="77777777" w:rsidR="00994634" w:rsidRPr="00E239E6" w:rsidRDefault="00994634" w:rsidP="002877C5">
      <w:pPr>
        <w:pStyle w:val="Heading3"/>
      </w:pPr>
      <w:bookmarkStart w:id="126" w:name="_Toc131352081"/>
      <w:bookmarkStart w:id="127" w:name="_Toc131414743"/>
      <w:bookmarkStart w:id="128" w:name="_Toc131502163"/>
      <w:bookmarkStart w:id="129" w:name="_Toc131580659"/>
      <w:bookmarkStart w:id="130" w:name="_Toc131596904"/>
      <w:bookmarkStart w:id="131" w:name="_Toc131602767"/>
      <w:bookmarkStart w:id="132" w:name="_Toc131613588"/>
      <w:bookmarkStart w:id="133" w:name="_Toc131621596"/>
      <w:bookmarkStart w:id="134" w:name="_Toc131631050"/>
      <w:bookmarkStart w:id="135" w:name="_Toc131674146"/>
      <w:bookmarkStart w:id="136" w:name="_Toc131679194"/>
      <w:bookmarkStart w:id="137" w:name="_Toc131682013"/>
      <w:bookmarkStart w:id="138" w:name="_Toc131685020"/>
      <w:bookmarkStart w:id="139" w:name="_Toc131686294"/>
      <w:bookmarkStart w:id="140" w:name="_Toc132205303"/>
      <w:bookmarkStart w:id="141" w:name="_Toc132205413"/>
      <w:bookmarkStart w:id="142" w:name="_Toc132213573"/>
      <w:bookmarkStart w:id="143" w:name="_Toc132217935"/>
      <w:bookmarkStart w:id="144" w:name="_Toc132230940"/>
      <w:bookmarkStart w:id="145" w:name="_Toc132235051"/>
      <w:bookmarkStart w:id="146" w:name="_Toc132371370"/>
      <w:bookmarkStart w:id="147" w:name="_Toc132375317"/>
      <w:bookmarkStart w:id="148" w:name="_Toc132387984"/>
      <w:bookmarkStart w:id="149" w:name="_Toc132389784"/>
      <w:bookmarkStart w:id="150" w:name="_Toc132458019"/>
      <w:bookmarkStart w:id="151" w:name="_Toc132474960"/>
      <w:bookmarkStart w:id="152" w:name="_Toc132620280"/>
      <w:bookmarkStart w:id="153" w:name="_Toc132622467"/>
      <w:bookmarkStart w:id="154" w:name="_Toc132623269"/>
      <w:bookmarkStart w:id="155" w:name="_Toc132624475"/>
      <w:bookmarkStart w:id="156" w:name="_Toc132635186"/>
      <w:bookmarkStart w:id="157" w:name="_Toc132635333"/>
      <w:bookmarkStart w:id="158" w:name="_Toc132635415"/>
      <w:bookmarkStart w:id="159" w:name="_Toc132638379"/>
      <w:bookmarkStart w:id="160" w:name="_Toc134122488"/>
      <w:r w:rsidRPr="3DFFC190">
        <w:t>Poor market design means that incentives for providers are not aligned to participants’ and governments’ interests</w:t>
      </w:r>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p>
    <w:p w14:paraId="220D8E79" w14:textId="77777777" w:rsidR="00994634" w:rsidRPr="00E239E6" w:rsidRDefault="00994634" w:rsidP="00994634">
      <w:pPr>
        <w:rPr>
          <w:rFonts w:cstheme="minorHAnsi"/>
        </w:rPr>
      </w:pPr>
      <w:r>
        <w:rPr>
          <w:rFonts w:cstheme="minorHAnsi"/>
        </w:rPr>
        <w:t>When well-designed, m</w:t>
      </w:r>
      <w:r w:rsidRPr="00E239E6">
        <w:rPr>
          <w:rFonts w:cstheme="minorHAnsi"/>
        </w:rPr>
        <w:t>arket-based approaches</w:t>
      </w:r>
      <w:r>
        <w:rPr>
          <w:rFonts w:cstheme="minorHAnsi"/>
        </w:rPr>
        <w:t xml:space="preserve"> for social services –</w:t>
      </w:r>
      <w:r w:rsidRPr="00E239E6">
        <w:rPr>
          <w:rFonts w:cstheme="minorHAnsi"/>
        </w:rPr>
        <w:t xml:space="preserve"> </w:t>
      </w:r>
      <w:r>
        <w:rPr>
          <w:rFonts w:cstheme="minorHAnsi"/>
        </w:rPr>
        <w:t xml:space="preserve">where participants have </w:t>
      </w:r>
      <w:r w:rsidRPr="00E239E6">
        <w:rPr>
          <w:rFonts w:cstheme="minorHAnsi"/>
        </w:rPr>
        <w:t>choice and provider</w:t>
      </w:r>
      <w:r>
        <w:rPr>
          <w:rFonts w:cstheme="minorHAnsi"/>
        </w:rPr>
        <w:t>s</w:t>
      </w:r>
      <w:r w:rsidRPr="00E239E6">
        <w:rPr>
          <w:rFonts w:cstheme="minorHAnsi"/>
        </w:rPr>
        <w:t xml:space="preserve"> compete</w:t>
      </w:r>
      <w:r>
        <w:rPr>
          <w:rFonts w:cstheme="minorHAnsi"/>
        </w:rPr>
        <w:t xml:space="preserve"> –</w:t>
      </w:r>
      <w:r w:rsidRPr="00E239E6">
        <w:rPr>
          <w:rFonts w:cstheme="minorHAnsi"/>
        </w:rPr>
        <w:t xml:space="preserve"> can foster innovation, lower the cost of service delivery, and improve the quality of supports and participant outcomes. Realising the benefits of a market-based approach, however, requires that the scheme settings align incentives for participants, providers and government. </w:t>
      </w:r>
      <w:r>
        <w:rPr>
          <w:rFonts w:cstheme="minorHAnsi"/>
        </w:rPr>
        <w:t>T</w:t>
      </w:r>
      <w:r w:rsidRPr="00E239E6">
        <w:rPr>
          <w:rFonts w:cstheme="minorHAnsi"/>
        </w:rPr>
        <w:t xml:space="preserve">he implementation of the NDIS </w:t>
      </w:r>
      <w:r>
        <w:rPr>
          <w:rFonts w:cstheme="minorHAnsi"/>
        </w:rPr>
        <w:t>market</w:t>
      </w:r>
      <w:r w:rsidRPr="00E239E6">
        <w:rPr>
          <w:rFonts w:cstheme="minorHAnsi"/>
        </w:rPr>
        <w:t xml:space="preserve"> has not seen these incentives align to support a well-functioning market. </w:t>
      </w:r>
    </w:p>
    <w:p w14:paraId="7D1F71A6" w14:textId="77777777" w:rsidR="00994634" w:rsidRPr="00773ED6" w:rsidRDefault="00994634" w:rsidP="002877C5">
      <w:pPr>
        <w:pStyle w:val="Heading4"/>
        <w:rPr>
          <w:rFonts w:eastAsia="Times New Roman"/>
          <w:lang w:eastAsia="en-AU"/>
        </w:rPr>
      </w:pPr>
      <w:r w:rsidRPr="00773ED6">
        <w:rPr>
          <w:rFonts w:eastAsia="Times New Roman"/>
          <w:lang w:eastAsia="en-AU"/>
        </w:rPr>
        <w:t>A</w:t>
      </w:r>
      <w:r>
        <w:rPr>
          <w:rFonts w:eastAsia="Times New Roman"/>
          <w:lang w:eastAsia="en-AU"/>
        </w:rPr>
        <w:t>s the NDIS is fully government-funded</w:t>
      </w:r>
      <w:r w:rsidRPr="00773ED6">
        <w:rPr>
          <w:rFonts w:eastAsia="Times New Roman"/>
          <w:lang w:eastAsia="en-AU"/>
        </w:rPr>
        <w:t xml:space="preserve">, </w:t>
      </w:r>
      <w:r>
        <w:rPr>
          <w:rFonts w:eastAsia="Times New Roman"/>
          <w:lang w:eastAsia="en-AU"/>
        </w:rPr>
        <w:t>it</w:t>
      </w:r>
      <w:r w:rsidRPr="00773ED6">
        <w:rPr>
          <w:rFonts w:eastAsia="Times New Roman"/>
          <w:lang w:eastAsia="en-AU"/>
        </w:rPr>
        <w:t xml:space="preserve"> does not operate as a </w:t>
      </w:r>
      <w:r>
        <w:rPr>
          <w:rFonts w:eastAsia="Times New Roman"/>
          <w:lang w:eastAsia="en-AU"/>
        </w:rPr>
        <w:t xml:space="preserve">private </w:t>
      </w:r>
      <w:r w:rsidRPr="00773ED6">
        <w:rPr>
          <w:rFonts w:eastAsia="Times New Roman"/>
          <w:lang w:eastAsia="en-AU"/>
        </w:rPr>
        <w:t>market</w:t>
      </w:r>
    </w:p>
    <w:p w14:paraId="3A57E843" w14:textId="77777777" w:rsidR="00994634" w:rsidRPr="00A72C2E" w:rsidRDefault="00994634" w:rsidP="00994634">
      <w:pPr>
        <w:rPr>
          <w:rFonts w:eastAsia="Times New Roman"/>
          <w:lang w:val="en-US" w:eastAsia="en-AU"/>
        </w:rPr>
      </w:pPr>
      <w:r>
        <w:t>Markets for s</w:t>
      </w:r>
      <w:r w:rsidRPr="3DFFC190">
        <w:t>o</w:t>
      </w:r>
      <w:r w:rsidRPr="00EB70DD">
        <w:t>cial services that are largely funded by governments (including the NDIS) are best described as ‘social markets’ or ‘quasi-markets’. In a social market</w:t>
      </w:r>
      <w:r w:rsidRPr="00EB70DD" w:rsidDel="0093155D">
        <w:t xml:space="preserve">, </w:t>
      </w:r>
      <w:r w:rsidRPr="00EB70DD">
        <w:t xml:space="preserve">service </w:t>
      </w:r>
      <w:r w:rsidRPr="00A72C2E">
        <w:rPr>
          <w:rFonts w:eastAsia="Times New Roman"/>
          <w:lang w:val="en-US" w:eastAsia="en-AU"/>
        </w:rPr>
        <w:t>providers often include not-for-profit and government providers</w:t>
      </w:r>
      <w:r w:rsidRPr="00A72C2E" w:rsidDel="0093155D">
        <w:rPr>
          <w:rFonts w:eastAsia="Times New Roman"/>
          <w:lang w:val="en-US" w:eastAsia="en-AU"/>
        </w:rPr>
        <w:t>. C</w:t>
      </w:r>
      <w:r w:rsidRPr="00A72C2E">
        <w:rPr>
          <w:rFonts w:eastAsia="Times New Roman"/>
          <w:lang w:val="en-US" w:eastAsia="en-AU"/>
        </w:rPr>
        <w:t xml:space="preserve">hoice of provider may be exercised on behalf of the </w:t>
      </w:r>
      <w:r>
        <w:rPr>
          <w:rFonts w:eastAsia="Times New Roman"/>
          <w:lang w:val="en-US" w:eastAsia="en-AU"/>
        </w:rPr>
        <w:t>consumer</w:t>
      </w:r>
      <w:r w:rsidRPr="00A72C2E" w:rsidDel="0093155D">
        <w:rPr>
          <w:rFonts w:eastAsia="Times New Roman"/>
          <w:lang w:val="en-US" w:eastAsia="en-AU"/>
        </w:rPr>
        <w:t xml:space="preserve">, and/or </w:t>
      </w:r>
      <w:r w:rsidRPr="00A72C2E">
        <w:rPr>
          <w:rFonts w:eastAsia="Times New Roman"/>
          <w:lang w:val="en-US" w:eastAsia="en-AU"/>
        </w:rPr>
        <w:t>the size of the market is determined in part or fully by the size of government funding.</w:t>
      </w:r>
    </w:p>
    <w:p w14:paraId="59762F06" w14:textId="77777777" w:rsidR="00994634" w:rsidRDefault="00994634" w:rsidP="00994634">
      <w:pPr>
        <w:rPr>
          <w:rFonts w:eastAsia="Times New Roman"/>
          <w:lang w:eastAsia="en-AU"/>
        </w:rPr>
      </w:pPr>
      <w:r w:rsidRPr="3DFFC190">
        <w:rPr>
          <w:rFonts w:eastAsia="Times New Roman"/>
          <w:lang w:eastAsia="en-AU"/>
        </w:rPr>
        <w:t xml:space="preserve">In the NDIS, </w:t>
      </w:r>
      <w:r>
        <w:rPr>
          <w:rFonts w:eastAsia="Times New Roman"/>
          <w:lang w:eastAsia="en-AU"/>
        </w:rPr>
        <w:t>participant</w:t>
      </w:r>
      <w:r w:rsidRPr="3DFFC190">
        <w:rPr>
          <w:rFonts w:eastAsia="Times New Roman"/>
          <w:lang w:eastAsia="en-AU"/>
        </w:rPr>
        <w:t xml:space="preserve">s </w:t>
      </w:r>
      <w:r>
        <w:rPr>
          <w:rFonts w:eastAsia="Times New Roman"/>
          <w:lang w:eastAsia="en-AU"/>
        </w:rPr>
        <w:t xml:space="preserve">purchase </w:t>
      </w:r>
      <w:r w:rsidRPr="3DFFC190">
        <w:rPr>
          <w:rFonts w:eastAsia="Times New Roman"/>
          <w:lang w:eastAsia="en-AU"/>
        </w:rPr>
        <w:t xml:space="preserve">supports using their allocated NDIS </w:t>
      </w:r>
      <w:r w:rsidRPr="3DFFC190" w:rsidDel="0093155D">
        <w:rPr>
          <w:rFonts w:eastAsia="Times New Roman"/>
          <w:lang w:eastAsia="en-AU"/>
        </w:rPr>
        <w:t>budget</w:t>
      </w:r>
      <w:r w:rsidDel="0093155D">
        <w:rPr>
          <w:rFonts w:eastAsia="Times New Roman"/>
          <w:lang w:eastAsia="en-AU"/>
        </w:rPr>
        <w:t>s</w:t>
      </w:r>
      <w:r>
        <w:rPr>
          <w:rFonts w:eastAsia="Times New Roman"/>
          <w:lang w:eastAsia="en-AU"/>
        </w:rPr>
        <w:t>. This</w:t>
      </w:r>
      <w:r w:rsidRPr="3DFFC190">
        <w:rPr>
          <w:rFonts w:eastAsia="Times New Roman"/>
          <w:lang w:eastAsia="en-AU"/>
        </w:rPr>
        <w:t xml:space="preserve"> </w:t>
      </w:r>
      <w:r>
        <w:rPr>
          <w:rFonts w:eastAsia="Times New Roman"/>
          <w:lang w:eastAsia="en-AU"/>
        </w:rPr>
        <w:t>means that participants may be</w:t>
      </w:r>
      <w:r w:rsidRPr="3DFFC190">
        <w:rPr>
          <w:rFonts w:eastAsia="Times New Roman"/>
          <w:lang w:eastAsia="en-AU"/>
        </w:rPr>
        <w:t xml:space="preserve"> less sensitive to prices than if they were </w:t>
      </w:r>
      <w:r>
        <w:rPr>
          <w:rFonts w:eastAsia="Times New Roman"/>
          <w:lang w:eastAsia="en-AU"/>
        </w:rPr>
        <w:t>purchasing supports using</w:t>
      </w:r>
      <w:r w:rsidRPr="3DFFC190">
        <w:rPr>
          <w:rFonts w:eastAsia="Times New Roman"/>
          <w:lang w:eastAsia="en-AU"/>
        </w:rPr>
        <w:t xml:space="preserve"> other sources of </w:t>
      </w:r>
      <w:r>
        <w:rPr>
          <w:rFonts w:eastAsia="Times New Roman"/>
          <w:lang w:eastAsia="en-AU"/>
        </w:rPr>
        <w:t xml:space="preserve">funding, such as </w:t>
      </w:r>
      <w:r w:rsidRPr="3DFFC190">
        <w:rPr>
          <w:rFonts w:eastAsia="Times New Roman"/>
          <w:lang w:eastAsia="en-AU"/>
        </w:rPr>
        <w:t xml:space="preserve">personal income. At </w:t>
      </w:r>
      <w:r w:rsidRPr="3DFFC190">
        <w:rPr>
          <w:rFonts w:eastAsia="Times New Roman"/>
          <w:lang w:eastAsia="en-AU"/>
        </w:rPr>
        <w:lastRenderedPageBreak/>
        <w:t xml:space="preserve">the same time, </w:t>
      </w:r>
      <w:r>
        <w:rPr>
          <w:rFonts w:eastAsia="Times New Roman"/>
          <w:lang w:eastAsia="en-AU"/>
        </w:rPr>
        <w:t>prices of supports</w:t>
      </w:r>
      <w:r w:rsidRPr="3DFFC190">
        <w:rPr>
          <w:rFonts w:eastAsia="Times New Roman"/>
          <w:lang w:eastAsia="en-AU"/>
        </w:rPr>
        <w:t xml:space="preserve"> are critical for service providers, </w:t>
      </w:r>
      <w:r>
        <w:rPr>
          <w:rFonts w:eastAsia="Times New Roman"/>
          <w:lang w:eastAsia="en-AU"/>
        </w:rPr>
        <w:t xml:space="preserve">and </w:t>
      </w:r>
      <w:r w:rsidRPr="3DFFC190">
        <w:rPr>
          <w:rFonts w:eastAsia="Times New Roman"/>
          <w:lang w:eastAsia="en-AU"/>
        </w:rPr>
        <w:t xml:space="preserve">affect </w:t>
      </w:r>
      <w:r>
        <w:rPr>
          <w:rFonts w:eastAsia="Times New Roman"/>
          <w:lang w:eastAsia="en-AU"/>
        </w:rPr>
        <w:t>providers’</w:t>
      </w:r>
      <w:r w:rsidRPr="3DFFC190">
        <w:rPr>
          <w:rFonts w:eastAsia="Times New Roman"/>
          <w:lang w:eastAsia="en-AU"/>
        </w:rPr>
        <w:t xml:space="preserve"> willingness and ability to </w:t>
      </w:r>
      <w:r>
        <w:rPr>
          <w:rFonts w:eastAsia="Times New Roman"/>
          <w:lang w:eastAsia="en-AU"/>
        </w:rPr>
        <w:t>supply</w:t>
      </w:r>
      <w:r w:rsidRPr="3DFFC190">
        <w:rPr>
          <w:rFonts w:eastAsia="Times New Roman"/>
          <w:lang w:eastAsia="en-AU"/>
        </w:rPr>
        <w:t xml:space="preserve"> supports.</w:t>
      </w:r>
    </w:p>
    <w:p w14:paraId="25F6ED78" w14:textId="77777777" w:rsidR="00994634" w:rsidRPr="00B95DCC" w:rsidRDefault="00994634" w:rsidP="00994634">
      <w:pPr>
        <w:rPr>
          <w:rFonts w:eastAsia="Times New Roman" w:cstheme="minorHAnsi"/>
          <w:lang w:eastAsia="en-AU"/>
        </w:rPr>
      </w:pPr>
      <w:r>
        <w:rPr>
          <w:rFonts w:eastAsia="Times New Roman"/>
          <w:lang w:eastAsia="en-AU"/>
        </w:rPr>
        <w:t>P</w:t>
      </w:r>
      <w:r w:rsidRPr="3DFFC190">
        <w:rPr>
          <w:rFonts w:eastAsia="Times New Roman"/>
          <w:lang w:eastAsia="en-AU"/>
        </w:rPr>
        <w:t xml:space="preserve">articipants may seek increases to </w:t>
      </w:r>
      <w:r>
        <w:rPr>
          <w:rFonts w:eastAsia="Times New Roman"/>
          <w:lang w:eastAsia="en-AU"/>
        </w:rPr>
        <w:t xml:space="preserve">their </w:t>
      </w:r>
      <w:r w:rsidRPr="3DFFC190">
        <w:rPr>
          <w:rFonts w:eastAsia="Times New Roman"/>
          <w:lang w:eastAsia="en-AU"/>
        </w:rPr>
        <w:t xml:space="preserve">budgets </w:t>
      </w:r>
      <w:r>
        <w:rPr>
          <w:rFonts w:eastAsia="Times New Roman"/>
          <w:lang w:eastAsia="en-AU"/>
        </w:rPr>
        <w:t>if</w:t>
      </w:r>
      <w:r w:rsidRPr="3DFFC190">
        <w:rPr>
          <w:rFonts w:eastAsia="Times New Roman"/>
          <w:lang w:eastAsia="en-AU"/>
        </w:rPr>
        <w:t xml:space="preserve"> they run out of funds</w:t>
      </w:r>
      <w:r>
        <w:rPr>
          <w:rFonts w:eastAsia="Times New Roman"/>
          <w:lang w:eastAsia="en-AU"/>
        </w:rPr>
        <w:t xml:space="preserve">. This can be encouraged by provider behaviour, which has the potential to increase </w:t>
      </w:r>
      <w:r w:rsidRPr="3DFFC190">
        <w:rPr>
          <w:rFonts w:eastAsia="Times New Roman"/>
          <w:lang w:eastAsia="en-AU"/>
        </w:rPr>
        <w:t>plan</w:t>
      </w:r>
      <w:r>
        <w:rPr>
          <w:rFonts w:eastAsia="Times New Roman"/>
          <w:lang w:eastAsia="en-AU"/>
        </w:rPr>
        <w:t xml:space="preserve"> costs</w:t>
      </w:r>
      <w:r w:rsidRPr="3DFFC190">
        <w:rPr>
          <w:rFonts w:eastAsia="Times New Roman"/>
          <w:lang w:eastAsia="en-AU"/>
        </w:rPr>
        <w:t xml:space="preserve"> </w:t>
      </w:r>
      <w:r w:rsidRPr="00225FD3">
        <w:rPr>
          <w:rFonts w:eastAsia="Times New Roman"/>
          <w:lang w:eastAsia="en-AU"/>
        </w:rPr>
        <w:t>without a substantial change in participant need nor an improvement in participant outcomes</w:t>
      </w:r>
      <w:r w:rsidRPr="3DFFC190">
        <w:rPr>
          <w:rFonts w:eastAsia="Times New Roman"/>
          <w:lang w:eastAsia="en-AU"/>
        </w:rPr>
        <w:t xml:space="preserve">. </w:t>
      </w:r>
      <w:r>
        <w:rPr>
          <w:rFonts w:eastAsia="Times New Roman"/>
          <w:lang w:eastAsia="en-AU"/>
        </w:rPr>
        <w:t>P</w:t>
      </w:r>
      <w:r w:rsidRPr="3DFFC190">
        <w:rPr>
          <w:rFonts w:eastAsia="Times New Roman"/>
          <w:lang w:eastAsia="en-AU"/>
        </w:rPr>
        <w:t>articipants do not receive any benefits from ‘saving’ funds in their budget. There actually may be concerns from some participants if they do</w:t>
      </w:r>
      <w:r>
        <w:rPr>
          <w:rFonts w:eastAsia="Times New Roman"/>
          <w:lang w:eastAsia="en-AU"/>
        </w:rPr>
        <w:t xml:space="preserve"> no</w:t>
      </w:r>
      <w:r w:rsidRPr="3DFFC190">
        <w:rPr>
          <w:rFonts w:eastAsia="Times New Roman"/>
          <w:lang w:eastAsia="en-AU"/>
        </w:rPr>
        <w:t>t s</w:t>
      </w:r>
      <w:r w:rsidRPr="00F447B9">
        <w:t>pend their funds, they may risk future cuts</w:t>
      </w:r>
      <w:r>
        <w:t xml:space="preserve"> to their budget</w:t>
      </w:r>
      <w:r w:rsidRPr="00F447B9">
        <w:t xml:space="preserve">. Participants have told </w:t>
      </w:r>
      <w:r>
        <w:t>us</w:t>
      </w:r>
      <w:r w:rsidRPr="00F447B9">
        <w:t xml:space="preserve"> they are afraid that their </w:t>
      </w:r>
      <w:r>
        <w:t>budget</w:t>
      </w:r>
      <w:r w:rsidRPr="00F447B9">
        <w:t xml:space="preserve"> will be cut in the future if they don’t spend the full amount of their current </w:t>
      </w:r>
      <w:r>
        <w:t>budget</w:t>
      </w:r>
      <w:r w:rsidRPr="00F447B9">
        <w:t xml:space="preserve">, even if they do not need it. </w:t>
      </w:r>
      <w:r w:rsidRPr="008C5C00">
        <w:rPr>
          <w:rFonts w:eastAsia="Times New Roman"/>
          <w:lang w:eastAsia="en-AU"/>
        </w:rPr>
        <w:t>This is therefore creating a perverse incentive</w:t>
      </w:r>
      <w:r w:rsidRPr="00F447B9">
        <w:t>.</w:t>
      </w:r>
    </w:p>
    <w:p w14:paraId="0D00EAD7" w14:textId="77777777" w:rsidR="00994634" w:rsidRPr="00773ED6" w:rsidRDefault="00994634" w:rsidP="002877C5">
      <w:pPr>
        <w:pStyle w:val="Heading4"/>
        <w:rPr>
          <w:rFonts w:eastAsia="Times New Roman"/>
          <w:lang w:eastAsia="en-AU"/>
        </w:rPr>
      </w:pPr>
      <w:r w:rsidRPr="00773ED6">
        <w:rPr>
          <w:rFonts w:eastAsia="Times New Roman"/>
          <w:lang w:eastAsia="en-AU"/>
        </w:rPr>
        <w:t>Providers have little incentive t</w:t>
      </w:r>
      <w:r>
        <w:rPr>
          <w:rFonts w:eastAsia="Times New Roman"/>
          <w:lang w:eastAsia="en-AU"/>
        </w:rPr>
        <w:t>o compete on price or quality</w:t>
      </w:r>
    </w:p>
    <w:p w14:paraId="773DF033" w14:textId="77777777" w:rsidR="00994634" w:rsidRDefault="00994634" w:rsidP="00994634">
      <w:pPr>
        <w:keepNext/>
        <w:keepLines/>
        <w:rPr>
          <w:rFonts w:eastAsia="Times New Roman"/>
          <w:lang w:eastAsia="en-AU"/>
        </w:rPr>
      </w:pPr>
      <w:r w:rsidRPr="3DFFC190">
        <w:rPr>
          <w:rFonts w:eastAsia="Times New Roman"/>
          <w:lang w:eastAsia="en-AU"/>
        </w:rPr>
        <w:t xml:space="preserve">Price caps act as </w:t>
      </w:r>
      <w:r>
        <w:rPr>
          <w:rFonts w:eastAsia="Times New Roman"/>
          <w:lang w:eastAsia="en-AU"/>
        </w:rPr>
        <w:t>an ‘</w:t>
      </w:r>
      <w:r w:rsidRPr="3DFFC190">
        <w:rPr>
          <w:rFonts w:eastAsia="Times New Roman"/>
          <w:lang w:eastAsia="en-AU"/>
        </w:rPr>
        <w:t>ancho</w:t>
      </w:r>
      <w:r>
        <w:rPr>
          <w:rFonts w:eastAsia="Times New Roman"/>
          <w:lang w:eastAsia="en-AU"/>
        </w:rPr>
        <w:t>r’</w:t>
      </w:r>
      <w:r w:rsidRPr="3DFFC190">
        <w:rPr>
          <w:rFonts w:eastAsia="Times New Roman"/>
          <w:lang w:eastAsia="en-AU"/>
        </w:rPr>
        <w:t xml:space="preserve"> but </w:t>
      </w:r>
      <w:r>
        <w:rPr>
          <w:rFonts w:eastAsia="Times New Roman"/>
          <w:lang w:eastAsia="en-AU"/>
        </w:rPr>
        <w:t>mostly</w:t>
      </w:r>
      <w:r w:rsidRPr="3DFFC190">
        <w:rPr>
          <w:rFonts w:eastAsia="Times New Roman"/>
          <w:lang w:eastAsia="en-AU"/>
        </w:rPr>
        <w:t xml:space="preserve"> </w:t>
      </w:r>
      <w:r>
        <w:rPr>
          <w:rFonts w:eastAsia="Times New Roman"/>
          <w:lang w:eastAsia="en-AU"/>
        </w:rPr>
        <w:t xml:space="preserve">do </w:t>
      </w:r>
      <w:r w:rsidRPr="3DFFC190">
        <w:rPr>
          <w:rFonts w:eastAsia="Times New Roman"/>
          <w:lang w:eastAsia="en-AU"/>
        </w:rPr>
        <w:t>n</w:t>
      </w:r>
      <w:r>
        <w:rPr>
          <w:rFonts w:eastAsia="Times New Roman"/>
          <w:lang w:eastAsia="en-AU"/>
        </w:rPr>
        <w:t>o</w:t>
      </w:r>
      <w:r w:rsidRPr="3DFFC190">
        <w:rPr>
          <w:rFonts w:eastAsia="Times New Roman"/>
          <w:lang w:eastAsia="en-AU"/>
        </w:rPr>
        <w:t xml:space="preserve">t adjust for quality or complexity. </w:t>
      </w:r>
      <w:r w:rsidRPr="00EB70DD">
        <w:rPr>
          <w:rFonts w:eastAsia="Times New Roman"/>
          <w:lang w:eastAsia="en-AU"/>
        </w:rPr>
        <w:t xml:space="preserve">As such, providers </w:t>
      </w:r>
      <w:r w:rsidRPr="3DFFC190">
        <w:rPr>
          <w:rFonts w:eastAsia="Times New Roman"/>
          <w:lang w:eastAsia="en-AU"/>
        </w:rPr>
        <w:t xml:space="preserve">have little incentive to </w:t>
      </w:r>
      <w:r w:rsidRPr="00EB70DD">
        <w:rPr>
          <w:rFonts w:eastAsia="Times New Roman"/>
          <w:lang w:eastAsia="en-AU"/>
        </w:rPr>
        <w:t>charge below the price cap</w:t>
      </w:r>
      <w:r>
        <w:rPr>
          <w:rFonts w:eastAsia="Times New Roman"/>
          <w:lang w:eastAsia="en-AU"/>
        </w:rPr>
        <w:t>.</w:t>
      </w:r>
      <w:r w:rsidRPr="00EB70DD">
        <w:rPr>
          <w:rFonts w:eastAsia="Times New Roman"/>
          <w:lang w:eastAsia="en-AU"/>
        </w:rPr>
        <w:t xml:space="preserve"> </w:t>
      </w:r>
    </w:p>
    <w:p w14:paraId="1E34DA47" w14:textId="77777777" w:rsidR="00994634" w:rsidRPr="00987E15" w:rsidRDefault="00994634" w:rsidP="00994634">
      <w:pPr>
        <w:keepNext/>
        <w:keepLines/>
        <w:rPr>
          <w:rFonts w:eastAsia="Times New Roman"/>
          <w:lang w:eastAsia="en-AU"/>
        </w:rPr>
      </w:pPr>
      <w:r>
        <w:rPr>
          <w:rFonts w:eastAsia="Times New Roman"/>
          <w:lang w:eastAsia="en-AU"/>
        </w:rPr>
        <w:t xml:space="preserve">Providers also have little incentive </w:t>
      </w:r>
      <w:r w:rsidRPr="00EB70DD">
        <w:rPr>
          <w:rFonts w:eastAsia="Times New Roman"/>
          <w:lang w:eastAsia="en-AU"/>
        </w:rPr>
        <w:t xml:space="preserve">to </w:t>
      </w:r>
      <w:r w:rsidRPr="3DFFC190">
        <w:rPr>
          <w:rFonts w:eastAsia="Times New Roman"/>
          <w:lang w:eastAsia="en-AU"/>
        </w:rPr>
        <w:t xml:space="preserve">innovate and consider quality beyond </w:t>
      </w:r>
      <w:r>
        <w:rPr>
          <w:rFonts w:eastAsia="Times New Roman"/>
          <w:lang w:eastAsia="en-AU"/>
        </w:rPr>
        <w:t>the minimum requirements in</w:t>
      </w:r>
      <w:r w:rsidRPr="3DFFC190">
        <w:rPr>
          <w:rFonts w:eastAsia="Times New Roman"/>
          <w:lang w:eastAsia="en-AU"/>
        </w:rPr>
        <w:t xml:space="preserve"> the</w:t>
      </w:r>
      <w:r w:rsidRPr="00674A9F">
        <w:rPr>
          <w:rFonts w:eastAsia="Times New Roman"/>
          <w:i/>
          <w:lang w:eastAsia="en-AU"/>
        </w:rPr>
        <w:t xml:space="preserve"> NDIS Quality and Safeguarding Framework</w:t>
      </w:r>
      <w:r>
        <w:rPr>
          <w:lang w:eastAsia="en-AU"/>
        </w:rPr>
        <w:t xml:space="preserve">, or the standards set through professional and registration bodies – such as, the </w:t>
      </w:r>
      <w:r w:rsidRPr="009B19AA">
        <w:rPr>
          <w:lang w:eastAsia="en-AU"/>
        </w:rPr>
        <w:t>Australian Health Practitioner Regulation Agency</w:t>
      </w:r>
      <w:r>
        <w:rPr>
          <w:lang w:eastAsia="en-AU"/>
        </w:rPr>
        <w:t xml:space="preserve"> (AHPRA) for therapy providers.</w:t>
      </w:r>
    </w:p>
    <w:p w14:paraId="6CA6921C" w14:textId="77777777" w:rsidR="00994634" w:rsidRPr="00987E15" w:rsidRDefault="00994634" w:rsidP="00994634">
      <w:pPr>
        <w:keepNext/>
        <w:keepLines/>
        <w:rPr>
          <w:lang w:eastAsia="en-AU"/>
        </w:rPr>
      </w:pPr>
      <w:r>
        <w:rPr>
          <w:rFonts w:eastAsia="Times New Roman"/>
          <w:lang w:eastAsia="en-AU"/>
        </w:rPr>
        <w:t xml:space="preserve">It has also been suggested that providers are </w:t>
      </w:r>
      <w:r w:rsidRPr="3DFFC190">
        <w:rPr>
          <w:rFonts w:eastAsia="Times New Roman"/>
          <w:lang w:eastAsia="en-AU"/>
        </w:rPr>
        <w:t xml:space="preserve">not </w:t>
      </w:r>
      <w:r>
        <w:rPr>
          <w:rFonts w:eastAsia="Times New Roman"/>
          <w:lang w:eastAsia="en-AU"/>
        </w:rPr>
        <w:t xml:space="preserve">sufficiently </w:t>
      </w:r>
      <w:r w:rsidRPr="3DFFC190">
        <w:rPr>
          <w:rFonts w:eastAsia="Times New Roman"/>
          <w:lang w:eastAsia="en-AU"/>
        </w:rPr>
        <w:t>incentivised to inve</w:t>
      </w:r>
      <w:r>
        <w:rPr>
          <w:rFonts w:eastAsia="Times New Roman"/>
          <w:lang w:eastAsia="en-AU"/>
        </w:rPr>
        <w:t xml:space="preserve">st in the quality of their workforce. Some providers noted challenges with investing in training when </w:t>
      </w:r>
      <w:r w:rsidRPr="3DFFC190">
        <w:rPr>
          <w:rFonts w:eastAsia="Times New Roman"/>
          <w:lang w:eastAsia="en-AU"/>
        </w:rPr>
        <w:t xml:space="preserve">workers </w:t>
      </w:r>
      <w:r>
        <w:rPr>
          <w:rFonts w:eastAsia="Times New Roman"/>
          <w:lang w:eastAsia="en-AU"/>
        </w:rPr>
        <w:t>can leave their organisations</w:t>
      </w:r>
      <w:r w:rsidRPr="3DFFC190">
        <w:rPr>
          <w:rFonts w:eastAsia="Times New Roman"/>
          <w:lang w:eastAsia="en-AU"/>
        </w:rPr>
        <w:t xml:space="preserve"> to </w:t>
      </w:r>
      <w:r>
        <w:rPr>
          <w:rFonts w:eastAsia="Times New Roman"/>
          <w:lang w:eastAsia="en-AU"/>
        </w:rPr>
        <w:t>set up as</w:t>
      </w:r>
      <w:r w:rsidRPr="3DFFC190">
        <w:rPr>
          <w:rFonts w:eastAsia="Times New Roman"/>
          <w:lang w:eastAsia="en-AU"/>
        </w:rPr>
        <w:t xml:space="preserve"> </w:t>
      </w:r>
      <w:r>
        <w:rPr>
          <w:rFonts w:eastAsia="Times New Roman"/>
          <w:lang w:eastAsia="en-AU"/>
        </w:rPr>
        <w:t xml:space="preserve">independent </w:t>
      </w:r>
      <w:r w:rsidRPr="3DFFC190">
        <w:rPr>
          <w:rFonts w:eastAsia="Times New Roman"/>
          <w:lang w:eastAsia="en-AU"/>
        </w:rPr>
        <w:t>cont</w:t>
      </w:r>
      <w:r>
        <w:rPr>
          <w:rFonts w:eastAsia="Times New Roman"/>
          <w:lang w:eastAsia="en-AU"/>
        </w:rPr>
        <w:t xml:space="preserve">ractors </w:t>
      </w:r>
      <w:r w:rsidRPr="3DFFC190">
        <w:rPr>
          <w:rFonts w:eastAsia="Times New Roman"/>
          <w:lang w:eastAsia="en-AU"/>
        </w:rPr>
        <w:t>or joi</w:t>
      </w:r>
      <w:r>
        <w:rPr>
          <w:rFonts w:eastAsia="Times New Roman"/>
          <w:lang w:eastAsia="en-AU"/>
        </w:rPr>
        <w:t>n</w:t>
      </w:r>
      <w:r w:rsidRPr="3DFFC190">
        <w:rPr>
          <w:rFonts w:eastAsia="Times New Roman"/>
          <w:lang w:eastAsia="en-AU"/>
        </w:rPr>
        <w:t xml:space="preserve"> online platform</w:t>
      </w:r>
      <w:r>
        <w:rPr>
          <w:rFonts w:eastAsia="Times New Roman"/>
          <w:lang w:eastAsia="en-AU"/>
        </w:rPr>
        <w:t>s</w:t>
      </w:r>
      <w:r w:rsidRPr="3DFFC190">
        <w:rPr>
          <w:rFonts w:eastAsia="Times New Roman"/>
          <w:lang w:eastAsia="en-AU"/>
        </w:rPr>
        <w:t>.</w:t>
      </w:r>
      <w:r>
        <w:rPr>
          <w:rFonts w:eastAsia="Times New Roman"/>
          <w:lang w:eastAsia="en-AU"/>
        </w:rPr>
        <w:t xml:space="preserve"> </w:t>
      </w:r>
    </w:p>
    <w:p w14:paraId="4D401E7A" w14:textId="77777777" w:rsidR="00994634" w:rsidRDefault="00994634" w:rsidP="00994634">
      <w:pPr>
        <w:rPr>
          <w:lang w:eastAsia="en-AU"/>
        </w:rPr>
      </w:pPr>
      <w:r>
        <w:rPr>
          <w:rFonts w:eastAsia="Times New Roman"/>
          <w:lang w:eastAsia="en-AU"/>
        </w:rPr>
        <w:t>Registration is the only</w:t>
      </w:r>
      <w:r w:rsidRPr="3DFFC190">
        <w:rPr>
          <w:rFonts w:eastAsia="Times New Roman"/>
          <w:lang w:eastAsia="en-AU"/>
        </w:rPr>
        <w:t xml:space="preserve"> </w:t>
      </w:r>
      <w:r>
        <w:rPr>
          <w:rFonts w:eastAsia="Times New Roman"/>
          <w:lang w:eastAsia="en-AU"/>
        </w:rPr>
        <w:t xml:space="preserve">consistent </w:t>
      </w:r>
      <w:r w:rsidRPr="3DFFC190">
        <w:rPr>
          <w:rFonts w:eastAsia="Times New Roman"/>
          <w:lang w:eastAsia="en-AU"/>
        </w:rPr>
        <w:t>measure of quality and provider performance that participants can use when selecting their providers</w:t>
      </w:r>
      <w:r>
        <w:rPr>
          <w:rFonts w:eastAsia="Times New Roman" w:cstheme="minorHAnsi"/>
          <w:lang w:eastAsia="en-AU"/>
        </w:rPr>
        <w:t>.</w:t>
      </w:r>
      <w:r>
        <w:rPr>
          <w:lang w:eastAsia="en-AU"/>
        </w:rPr>
        <w:t xml:space="preserve"> </w:t>
      </w:r>
      <w:r w:rsidRPr="00C81ABE">
        <w:rPr>
          <w:lang w:eastAsia="en-AU"/>
        </w:rPr>
        <w:t xml:space="preserve">However, </w:t>
      </w:r>
      <w:r>
        <w:rPr>
          <w:lang w:eastAsia="en-AU"/>
        </w:rPr>
        <w:t>the</w:t>
      </w:r>
      <w:r w:rsidRPr="00C81ABE">
        <w:rPr>
          <w:lang w:eastAsia="en-AU"/>
        </w:rPr>
        <w:t xml:space="preserve"> correlation between quality and registration</w:t>
      </w:r>
      <w:r>
        <w:rPr>
          <w:lang w:eastAsia="en-AU"/>
        </w:rPr>
        <w:t xml:space="preserve"> is not clear. S</w:t>
      </w:r>
      <w:r w:rsidRPr="00C81ABE">
        <w:rPr>
          <w:lang w:eastAsia="en-AU"/>
        </w:rPr>
        <w:t xml:space="preserve">ome participants </w:t>
      </w:r>
      <w:r>
        <w:rPr>
          <w:lang w:eastAsia="en-AU"/>
        </w:rPr>
        <w:t xml:space="preserve">have suggested to us </w:t>
      </w:r>
      <w:r w:rsidR="00987367">
        <w:rPr>
          <w:lang w:eastAsia="en-AU"/>
        </w:rPr>
        <w:t>that their</w:t>
      </w:r>
      <w:r w:rsidR="00987367">
        <w:rPr>
          <w:lang w:eastAsia="en-AU"/>
        </w:rPr>
        <w:br/>
      </w:r>
      <w:r w:rsidRPr="00C81ABE">
        <w:rPr>
          <w:lang w:eastAsia="en-AU"/>
        </w:rPr>
        <w:t xml:space="preserve">non-registered providers are their highest quality, most innovative and best </w:t>
      </w:r>
      <w:r>
        <w:rPr>
          <w:lang w:eastAsia="en-AU"/>
        </w:rPr>
        <w:t>value</w:t>
      </w:r>
      <w:r>
        <w:rPr>
          <w:lang w:eastAsia="en-AU"/>
        </w:rPr>
        <w:noBreakHyphen/>
      </w:r>
      <w:r w:rsidRPr="00C81ABE">
        <w:rPr>
          <w:lang w:eastAsia="en-AU"/>
        </w:rPr>
        <w:t>for-money supports</w:t>
      </w:r>
      <w:r>
        <w:rPr>
          <w:lang w:eastAsia="en-AU"/>
        </w:rPr>
        <w:t>.</w:t>
      </w:r>
    </w:p>
    <w:p w14:paraId="2FDE1426" w14:textId="77777777" w:rsidR="00994634" w:rsidRPr="002F2516" w:rsidRDefault="00994634" w:rsidP="00994634">
      <w:pPr>
        <w:rPr>
          <w:rFonts w:eastAsia="Times New Roman"/>
          <w:lang w:eastAsia="en-AU"/>
        </w:rPr>
      </w:pPr>
      <w:r>
        <w:rPr>
          <w:rFonts w:eastAsia="Times New Roman"/>
          <w:lang w:eastAsia="en-AU"/>
        </w:rPr>
        <w:lastRenderedPageBreak/>
        <w:t>Participants cannot</w:t>
      </w:r>
      <w:r w:rsidRPr="3DFFC190">
        <w:rPr>
          <w:rFonts w:eastAsia="Times New Roman"/>
          <w:lang w:eastAsia="en-AU"/>
        </w:rPr>
        <w:t xml:space="preserve"> easily compare services or negotiate prices </w:t>
      </w:r>
      <w:r>
        <w:rPr>
          <w:rFonts w:eastAsia="Times New Roman"/>
          <w:lang w:eastAsia="en-AU"/>
        </w:rPr>
        <w:t>without</w:t>
      </w:r>
      <w:r w:rsidRPr="3DFFC190">
        <w:rPr>
          <w:rFonts w:eastAsia="Times New Roman"/>
          <w:lang w:eastAsia="en-AU"/>
        </w:rPr>
        <w:t xml:space="preserve"> easily accessible, complete and accurate information</w:t>
      </w:r>
      <w:r>
        <w:rPr>
          <w:rFonts w:eastAsia="Times New Roman"/>
          <w:lang w:eastAsia="en-AU"/>
        </w:rPr>
        <w:t>. P</w:t>
      </w:r>
      <w:r w:rsidRPr="3DFFC190">
        <w:rPr>
          <w:rFonts w:eastAsia="Times New Roman"/>
          <w:lang w:eastAsia="en-AU"/>
        </w:rPr>
        <w:t xml:space="preserve">roviders have limited incentives and incomplete information to </w:t>
      </w:r>
      <w:r>
        <w:rPr>
          <w:rFonts w:eastAsia="Times New Roman"/>
          <w:lang w:eastAsia="en-AU"/>
        </w:rPr>
        <w:t xml:space="preserve">foster competition on price or </w:t>
      </w:r>
      <w:r w:rsidRPr="3DFFC190">
        <w:rPr>
          <w:rFonts w:eastAsia="Times New Roman"/>
          <w:lang w:eastAsia="en-AU"/>
        </w:rPr>
        <w:t>quality of services.</w:t>
      </w:r>
      <w:r>
        <w:rPr>
          <w:rFonts w:eastAsia="Times New Roman"/>
          <w:lang w:eastAsia="en-AU"/>
        </w:rPr>
        <w:t xml:space="preserve"> The lack of accessible and comparable information on provider performance </w:t>
      </w:r>
      <w:r w:rsidRPr="3DFFC190">
        <w:t>work</w:t>
      </w:r>
      <w:r>
        <w:t>s</w:t>
      </w:r>
      <w:r w:rsidRPr="3DFFC190">
        <w:t xml:space="preserve"> against competition and </w:t>
      </w:r>
      <w:r>
        <w:t xml:space="preserve">makes it difficult </w:t>
      </w:r>
      <w:r w:rsidRPr="3DFFC190">
        <w:t xml:space="preserve">for participants to purchase on </w:t>
      </w:r>
      <w:r>
        <w:rPr>
          <w:rFonts w:cstheme="minorHAnsi"/>
        </w:rPr>
        <w:t xml:space="preserve">quality and </w:t>
      </w:r>
      <w:r w:rsidRPr="3DFFC190">
        <w:t>price.</w:t>
      </w:r>
    </w:p>
    <w:p w14:paraId="75B7C9DF" w14:textId="77777777" w:rsidR="00994634" w:rsidRPr="00773ED6" w:rsidRDefault="00994634" w:rsidP="002877C5">
      <w:pPr>
        <w:pStyle w:val="Heading4"/>
        <w:rPr>
          <w:rFonts w:eastAsia="Times New Roman"/>
          <w:lang w:eastAsia="en-AU"/>
        </w:rPr>
      </w:pPr>
      <w:r w:rsidRPr="00773ED6">
        <w:rPr>
          <w:rFonts w:eastAsia="Times New Roman"/>
          <w:lang w:eastAsia="en-AU"/>
        </w:rPr>
        <w:t>The large reliance on fee-for-service payments can get in the way of delivering ‘value-based’ supports</w:t>
      </w:r>
    </w:p>
    <w:p w14:paraId="26C86893" w14:textId="77777777" w:rsidR="00994634" w:rsidRDefault="00994634" w:rsidP="00994634">
      <w:pPr>
        <w:rPr>
          <w:lang w:eastAsia="en-AU"/>
        </w:rPr>
      </w:pPr>
      <w:r>
        <w:t>Inherent</w:t>
      </w:r>
      <w:r w:rsidRPr="3DFFC190">
        <w:t xml:space="preserve"> friction </w:t>
      </w:r>
      <w:r>
        <w:t>exists</w:t>
      </w:r>
      <w:r w:rsidRPr="3DFFC190">
        <w:t xml:space="preserve"> between</w:t>
      </w:r>
      <w:r>
        <w:t xml:space="preserve"> the</w:t>
      </w:r>
      <w:r w:rsidRPr="3DFFC190">
        <w:t xml:space="preserve"> fee-for-service</w:t>
      </w:r>
      <w:r>
        <w:t xml:space="preserve"> payment approach </w:t>
      </w:r>
      <w:r w:rsidRPr="3DFFC190">
        <w:t xml:space="preserve">and the investment principles of the </w:t>
      </w:r>
      <w:r>
        <w:t>s</w:t>
      </w:r>
      <w:r w:rsidRPr="3DFFC190">
        <w:t>cheme.</w:t>
      </w:r>
      <w:r>
        <w:t xml:space="preserve"> The </w:t>
      </w:r>
      <w:r w:rsidRPr="3DFFC190">
        <w:t>fee-for-service</w:t>
      </w:r>
      <w:r>
        <w:t xml:space="preserve"> payment approach</w:t>
      </w:r>
      <w:r w:rsidRPr="3DFFC190">
        <w:t xml:space="preserve"> rew</w:t>
      </w:r>
      <w:r>
        <w:t>ards higher levels of activity,</w:t>
      </w:r>
      <w:r w:rsidRPr="3DFFC190">
        <w:t xml:space="preserve"> usually support hours</w:t>
      </w:r>
      <w:r>
        <w:t>.</w:t>
      </w:r>
      <w:r w:rsidRPr="3DFFC190">
        <w:t xml:space="preserve"> </w:t>
      </w:r>
      <w:r>
        <w:t>This approach encourages</w:t>
      </w:r>
      <w:r w:rsidRPr="3DFFC190">
        <w:t xml:space="preserve"> short-term transactional </w:t>
      </w:r>
      <w:r>
        <w:t xml:space="preserve">relationships in </w:t>
      </w:r>
      <w:r w:rsidRPr="3DFFC190">
        <w:t xml:space="preserve">service </w:t>
      </w:r>
      <w:r>
        <w:t xml:space="preserve">delivery rather than </w:t>
      </w:r>
      <w:r w:rsidRPr="3DFFC190">
        <w:t>reward</w:t>
      </w:r>
      <w:r>
        <w:t>ing</w:t>
      </w:r>
      <w:r w:rsidRPr="3DFFC190">
        <w:t xml:space="preserve"> </w:t>
      </w:r>
      <w:r>
        <w:t>providers</w:t>
      </w:r>
      <w:r w:rsidRPr="3DFFC190">
        <w:t xml:space="preserve"> for investing in the capability of participants to reduce their ongoing needs for formal supports. </w:t>
      </w:r>
    </w:p>
    <w:p w14:paraId="71608CEA" w14:textId="77777777" w:rsidR="00994634" w:rsidRPr="00E239E6" w:rsidRDefault="00994634" w:rsidP="00994634">
      <w:pPr>
        <w:rPr>
          <w:lang w:eastAsia="en-AU"/>
        </w:rPr>
      </w:pPr>
      <w:r w:rsidRPr="3DFFC190">
        <w:rPr>
          <w:rFonts w:eastAsia="Times New Roman"/>
          <w:lang w:eastAsia="en-AU"/>
        </w:rPr>
        <w:t>Providers may also act to increase demand for their supports, even when these do</w:t>
      </w:r>
      <w:r>
        <w:rPr>
          <w:rFonts w:eastAsia="Times New Roman"/>
          <w:lang w:eastAsia="en-AU"/>
        </w:rPr>
        <w:t xml:space="preserve"> no</w:t>
      </w:r>
      <w:r w:rsidRPr="3DFFC190">
        <w:rPr>
          <w:rFonts w:eastAsia="Times New Roman"/>
          <w:lang w:eastAsia="en-AU"/>
        </w:rPr>
        <w:t xml:space="preserve">t represent value </w:t>
      </w:r>
      <w:r>
        <w:rPr>
          <w:rFonts w:eastAsia="Times New Roman"/>
          <w:lang w:eastAsia="en-AU"/>
        </w:rPr>
        <w:t>for</w:t>
      </w:r>
      <w:r w:rsidRPr="3DFFC190">
        <w:rPr>
          <w:rFonts w:eastAsia="Times New Roman"/>
          <w:lang w:eastAsia="en-AU"/>
        </w:rPr>
        <w:t xml:space="preserve"> money or improve participant outcomes. </w:t>
      </w:r>
      <w:r>
        <w:rPr>
          <w:rFonts w:eastAsia="Times New Roman"/>
          <w:lang w:eastAsia="en-AU"/>
        </w:rPr>
        <w:t xml:space="preserve">This incentive for providers is exacerbated in the NDIS, as participants’ budgets are fully government-funded. </w:t>
      </w:r>
      <w:r w:rsidRPr="3DFFC190">
        <w:rPr>
          <w:rFonts w:eastAsia="Times New Roman"/>
          <w:lang w:eastAsia="en-AU"/>
        </w:rPr>
        <w:t xml:space="preserve">This may </w:t>
      </w:r>
      <w:r>
        <w:rPr>
          <w:rFonts w:eastAsia="Times New Roman"/>
          <w:lang w:eastAsia="en-AU"/>
        </w:rPr>
        <w:t>also</w:t>
      </w:r>
      <w:r w:rsidRPr="3DFFC190">
        <w:rPr>
          <w:rFonts w:eastAsia="Times New Roman"/>
          <w:lang w:eastAsia="en-AU"/>
        </w:rPr>
        <w:t xml:space="preserve"> be</w:t>
      </w:r>
      <w:r w:rsidDel="002778F5">
        <w:rPr>
          <w:rFonts w:eastAsia="Times New Roman"/>
          <w:lang w:eastAsia="en-AU"/>
        </w:rPr>
        <w:t xml:space="preserve"> </w:t>
      </w:r>
      <w:r>
        <w:rPr>
          <w:rFonts w:eastAsia="Times New Roman"/>
          <w:lang w:eastAsia="en-AU"/>
        </w:rPr>
        <w:t>compounded in cases where</w:t>
      </w:r>
      <w:r w:rsidRPr="3DFFC190">
        <w:rPr>
          <w:rFonts w:eastAsia="Times New Roman"/>
          <w:lang w:eastAsia="en-AU"/>
        </w:rPr>
        <w:t xml:space="preserve"> </w:t>
      </w:r>
      <w:r w:rsidRPr="3DFFC190">
        <w:t xml:space="preserve">participants rely on the </w:t>
      </w:r>
      <w:r>
        <w:t>professional</w:t>
      </w:r>
      <w:r w:rsidRPr="3DFFC190">
        <w:t xml:space="preserve"> opinion</w:t>
      </w:r>
      <w:r>
        <w:t>s</w:t>
      </w:r>
      <w:r w:rsidRPr="3DFFC190">
        <w:t xml:space="preserve"> of their provider</w:t>
      </w:r>
      <w:r>
        <w:t>s</w:t>
      </w:r>
      <w:r w:rsidRPr="3DFFC190">
        <w:t xml:space="preserve"> about the level of servicing that is beneficial. </w:t>
      </w:r>
    </w:p>
    <w:p w14:paraId="200AF215" w14:textId="77777777" w:rsidR="002877C5" w:rsidRDefault="00994634" w:rsidP="002877C5">
      <w:pPr>
        <w:rPr>
          <w:rFonts w:cstheme="minorHAnsi"/>
        </w:rPr>
      </w:pPr>
      <w:r w:rsidRPr="00E239E6">
        <w:rPr>
          <w:rFonts w:cstheme="minorHAnsi"/>
        </w:rPr>
        <w:t xml:space="preserve">Providers, therefore, have a financial incentive to increase the volume of supports delivered and recommend additional supports that </w:t>
      </w:r>
      <w:r>
        <w:rPr>
          <w:rFonts w:cstheme="minorHAnsi"/>
        </w:rPr>
        <w:t>may</w:t>
      </w:r>
      <w:r w:rsidRPr="00E239E6">
        <w:rPr>
          <w:rFonts w:cstheme="minorHAnsi"/>
        </w:rPr>
        <w:t xml:space="preserve"> not</w:t>
      </w:r>
      <w:r>
        <w:rPr>
          <w:rFonts w:cstheme="minorHAnsi"/>
        </w:rPr>
        <w:t xml:space="preserve"> be</w:t>
      </w:r>
      <w:r w:rsidRPr="00E239E6">
        <w:rPr>
          <w:rFonts w:cstheme="minorHAnsi"/>
        </w:rPr>
        <w:t xml:space="preserve"> essential to</w:t>
      </w:r>
      <w:r>
        <w:rPr>
          <w:rFonts w:cstheme="minorHAnsi"/>
        </w:rPr>
        <w:t xml:space="preserve"> participant</w:t>
      </w:r>
      <w:r w:rsidRPr="00E239E6">
        <w:rPr>
          <w:rFonts w:cstheme="minorHAnsi"/>
        </w:rPr>
        <w:t xml:space="preserve"> outcomes.</w:t>
      </w:r>
      <w:r w:rsidR="002877C5">
        <w:rPr>
          <w:rFonts w:cstheme="minorHAnsi"/>
        </w:rPr>
        <w:br w:type="page"/>
      </w:r>
    </w:p>
    <w:p w14:paraId="5EF5D9E2" w14:textId="77777777" w:rsidR="00656002" w:rsidRPr="00E239E6" w:rsidRDefault="00656002" w:rsidP="00656002">
      <w:pPr>
        <w:pStyle w:val="Heading2"/>
        <w:numPr>
          <w:ilvl w:val="0"/>
          <w:numId w:val="20"/>
        </w:numPr>
        <w:rPr>
          <w:rFonts w:asciiTheme="minorHAnsi" w:hAnsiTheme="minorHAnsi" w:cstheme="minorHAnsi"/>
        </w:rPr>
      </w:pPr>
      <w:bookmarkStart w:id="161" w:name="_Toc130918872"/>
      <w:bookmarkStart w:id="162" w:name="_Toc130922070"/>
      <w:bookmarkStart w:id="163" w:name="_Toc130987674"/>
      <w:bookmarkStart w:id="164" w:name="_Toc130991789"/>
      <w:bookmarkStart w:id="165" w:name="_Toc130994337"/>
      <w:bookmarkStart w:id="166" w:name="_Toc131059861"/>
      <w:bookmarkStart w:id="167" w:name="_Toc131168280"/>
      <w:bookmarkStart w:id="168" w:name="_Toc131170992"/>
      <w:bookmarkStart w:id="169" w:name="_Toc131181841"/>
      <w:bookmarkStart w:id="170" w:name="_Toc131352082"/>
      <w:bookmarkStart w:id="171" w:name="_Toc131414744"/>
      <w:bookmarkStart w:id="172" w:name="_Toc131502164"/>
      <w:bookmarkStart w:id="173" w:name="_Toc131580660"/>
      <w:bookmarkStart w:id="174" w:name="_Toc131596905"/>
      <w:bookmarkStart w:id="175" w:name="_Toc131602768"/>
      <w:bookmarkStart w:id="176" w:name="_Toc131613589"/>
      <w:bookmarkStart w:id="177" w:name="_Toc131621597"/>
      <w:bookmarkStart w:id="178" w:name="_Toc131631051"/>
      <w:bookmarkStart w:id="179" w:name="_Toc131674147"/>
      <w:bookmarkStart w:id="180" w:name="_Toc131679195"/>
      <w:bookmarkStart w:id="181" w:name="_Toc131682014"/>
      <w:bookmarkStart w:id="182" w:name="_Toc131685021"/>
      <w:bookmarkStart w:id="183" w:name="_Toc131686295"/>
      <w:bookmarkStart w:id="184" w:name="_Toc132205304"/>
      <w:bookmarkStart w:id="185" w:name="_Toc132205414"/>
      <w:bookmarkStart w:id="186" w:name="_Toc132213574"/>
      <w:bookmarkStart w:id="187" w:name="_Toc132217936"/>
      <w:bookmarkStart w:id="188" w:name="_Toc132230941"/>
      <w:bookmarkStart w:id="189" w:name="_Toc132235052"/>
      <w:bookmarkStart w:id="190" w:name="_Toc132371371"/>
      <w:bookmarkStart w:id="191" w:name="_Toc132375318"/>
      <w:bookmarkStart w:id="192" w:name="_Toc132387985"/>
      <w:bookmarkStart w:id="193" w:name="_Toc132389785"/>
      <w:bookmarkStart w:id="194" w:name="_Toc132458020"/>
      <w:bookmarkStart w:id="195" w:name="_Toc132474961"/>
      <w:bookmarkStart w:id="196" w:name="_Toc132620281"/>
      <w:bookmarkStart w:id="197" w:name="_Toc132622468"/>
      <w:bookmarkStart w:id="198" w:name="_Toc132623270"/>
      <w:bookmarkStart w:id="199" w:name="_Toc132624476"/>
      <w:bookmarkStart w:id="200" w:name="_Toc132635187"/>
      <w:bookmarkStart w:id="201" w:name="_Toc132635334"/>
      <w:bookmarkStart w:id="202" w:name="_Toc134122489"/>
      <w:bookmarkStart w:id="203" w:name="_Toc134621118"/>
      <w:bookmarkStart w:id="204" w:name="_Toc135390388"/>
      <w:r w:rsidRPr="00E239E6">
        <w:rPr>
          <w:rFonts w:asciiTheme="minorHAnsi" w:hAnsiTheme="minorHAnsi" w:cstheme="minorHAnsi"/>
        </w:rPr>
        <w:lastRenderedPageBreak/>
        <w:t xml:space="preserve">What tools do </w:t>
      </w:r>
      <w:r>
        <w:rPr>
          <w:rFonts w:asciiTheme="minorHAnsi" w:hAnsiTheme="minorHAnsi" w:cstheme="minorHAnsi"/>
        </w:rPr>
        <w:t>governments</w:t>
      </w:r>
      <w:r w:rsidRPr="00E239E6">
        <w:rPr>
          <w:rFonts w:asciiTheme="minorHAnsi" w:hAnsiTheme="minorHAnsi" w:cstheme="minorHAnsi"/>
        </w:rPr>
        <w:t xml:space="preserve"> have to address market challenges?</w:t>
      </w:r>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p>
    <w:p w14:paraId="18B48D2B" w14:textId="77777777" w:rsidR="00656002" w:rsidRDefault="00656002" w:rsidP="00656002">
      <w:r>
        <w:t xml:space="preserve">Markets are </w:t>
      </w:r>
      <w:r w:rsidRPr="3DFFC190">
        <w:t>not the only</w:t>
      </w:r>
      <w:r>
        <w:t xml:space="preserve"> (or necessarily the most important)</w:t>
      </w:r>
      <w:r w:rsidRPr="3DFFC190">
        <w:t xml:space="preserve"> tool available to </w:t>
      </w:r>
      <w:r>
        <w:t xml:space="preserve">governments. Rather, NDIS markets </w:t>
      </w:r>
      <w:r w:rsidRPr="3DFFC190">
        <w:t xml:space="preserve">should </w:t>
      </w:r>
      <w:r>
        <w:t xml:space="preserve">be designed to </w:t>
      </w:r>
      <w:r w:rsidRPr="3DFFC190">
        <w:t>complement, and not replace, the underlying scheme design elements</w:t>
      </w:r>
      <w:r>
        <w:t xml:space="preserve"> (</w:t>
      </w:r>
      <w:r w:rsidRPr="00A427CC">
        <w:rPr>
          <w:i/>
        </w:rPr>
        <w:t>Figure 4</w:t>
      </w:r>
      <w:r>
        <w:t>).</w:t>
      </w:r>
    </w:p>
    <w:p w14:paraId="61986AD5" w14:textId="77777777" w:rsidR="00656002" w:rsidRDefault="00656002" w:rsidP="00C53CA3">
      <w:pPr>
        <w:pStyle w:val="Figure"/>
      </w:pPr>
      <w:r w:rsidRPr="00617392">
        <w:t xml:space="preserve">Design elements that </w:t>
      </w:r>
      <w:r w:rsidRPr="00656002">
        <w:t>underlie</w:t>
      </w:r>
      <w:r w:rsidRPr="00617392">
        <w:t xml:space="preserve"> the NDIS</w:t>
      </w:r>
    </w:p>
    <w:p w14:paraId="2F4760C5" w14:textId="77777777" w:rsidR="001B0F0B" w:rsidRPr="00617392" w:rsidRDefault="001B0F0B" w:rsidP="00987367">
      <w:pPr>
        <w:pStyle w:val="INFO-S1"/>
      </w:pPr>
      <w:r w:rsidRPr="00617392">
        <w:t>Scheme eligibility</w:t>
      </w:r>
    </w:p>
    <w:p w14:paraId="605834EA" w14:textId="77777777" w:rsidR="001B0F0B" w:rsidRPr="00617392" w:rsidRDefault="001B0F0B" w:rsidP="00987367">
      <w:pPr>
        <w:pStyle w:val="INFO-S1"/>
      </w:pPr>
      <w:r w:rsidRPr="00617392">
        <w:t xml:space="preserve">Budget setting processes, including the </w:t>
      </w:r>
      <w:r w:rsidRPr="001B0F0B">
        <w:t>process</w:t>
      </w:r>
      <w:r w:rsidR="00987367">
        <w:t xml:space="preserve"> for</w:t>
      </w:r>
      <w:r w:rsidR="00987367">
        <w:br/>
      </w:r>
      <w:r w:rsidRPr="00617392">
        <w:t>determining which supports are reasonable and necessary</w:t>
      </w:r>
    </w:p>
    <w:p w14:paraId="32F2DC8F" w14:textId="77777777" w:rsidR="00994634" w:rsidRPr="007B5A59" w:rsidRDefault="001B0F0B" w:rsidP="00987367">
      <w:pPr>
        <w:pStyle w:val="INFO-S1"/>
      </w:pPr>
      <w:r w:rsidRPr="00617392">
        <w:t xml:space="preserve">Quality and </w:t>
      </w:r>
      <w:r w:rsidR="00BB7B95" w:rsidRPr="00617392">
        <w:t>safeguarding</w:t>
      </w:r>
      <w:r w:rsidRPr="00617392">
        <w:t xml:space="preserve"> framework</w:t>
      </w:r>
    </w:p>
    <w:p w14:paraId="2A0434D7" w14:textId="77777777" w:rsidR="00656002" w:rsidRPr="00942380" w:rsidRDefault="00656002" w:rsidP="00656002">
      <w:pPr>
        <w:pStyle w:val="Heading3"/>
        <w:rPr>
          <w:lang w:eastAsia="en-AU"/>
        </w:rPr>
      </w:pPr>
      <w:r>
        <w:rPr>
          <w:rFonts w:eastAsia="Times New Roman"/>
          <w:lang w:eastAsia="en-AU"/>
        </w:rPr>
        <w:t>The role of markets in the NDIS</w:t>
      </w:r>
    </w:p>
    <w:p w14:paraId="7E6BDC3E" w14:textId="77777777" w:rsidR="00656002" w:rsidRPr="00E239E6" w:rsidRDefault="00656002" w:rsidP="00656002">
      <w:pPr>
        <w:rPr>
          <w:rFonts w:cstheme="minorHAnsi"/>
        </w:rPr>
      </w:pPr>
      <w:r w:rsidRPr="00E239E6">
        <w:rPr>
          <w:rFonts w:cstheme="minorHAnsi"/>
        </w:rPr>
        <w:t>The development of</w:t>
      </w:r>
      <w:r>
        <w:rPr>
          <w:rFonts w:cstheme="minorHAnsi"/>
        </w:rPr>
        <w:t xml:space="preserve"> the</w:t>
      </w:r>
      <w:r w:rsidRPr="00E239E6" w:rsidDel="0023660B">
        <w:rPr>
          <w:rFonts w:cstheme="minorHAnsi"/>
        </w:rPr>
        <w:t xml:space="preserve"> </w:t>
      </w:r>
      <w:r w:rsidRPr="00E239E6">
        <w:rPr>
          <w:rFonts w:cstheme="minorHAnsi"/>
        </w:rPr>
        <w:t xml:space="preserve">NDIS market is not an end in itself. Rather, the NDIS market </w:t>
      </w:r>
      <w:r>
        <w:rPr>
          <w:rFonts w:cstheme="minorHAnsi"/>
        </w:rPr>
        <w:t xml:space="preserve">– if appropriately designed – </w:t>
      </w:r>
      <w:r w:rsidRPr="00E239E6" w:rsidDel="00621B76">
        <w:rPr>
          <w:rFonts w:cstheme="minorHAnsi"/>
        </w:rPr>
        <w:t>is</w:t>
      </w:r>
      <w:r w:rsidRPr="00E239E6">
        <w:rPr>
          <w:rFonts w:cstheme="minorHAnsi"/>
        </w:rPr>
        <w:t xml:space="preserve"> a tool that can encourage service providers to be more effective in achieving outcomes for participants</w:t>
      </w:r>
      <w:r>
        <w:rPr>
          <w:rFonts w:cstheme="minorHAnsi"/>
        </w:rPr>
        <w:t xml:space="preserve"> (</w:t>
      </w:r>
      <w:r w:rsidRPr="00A427CC">
        <w:rPr>
          <w:rFonts w:cstheme="minorHAnsi"/>
          <w:i/>
        </w:rPr>
        <w:t>Figure 5</w:t>
      </w:r>
      <w:r>
        <w:rPr>
          <w:rFonts w:cstheme="minorHAnsi"/>
        </w:rPr>
        <w:t>)</w:t>
      </w:r>
      <w:r w:rsidRPr="00E239E6">
        <w:rPr>
          <w:rFonts w:cstheme="minorHAnsi"/>
        </w:rPr>
        <w:t>.</w:t>
      </w:r>
    </w:p>
    <w:p w14:paraId="0AED22F3" w14:textId="77777777" w:rsidR="000B4E1F" w:rsidRPr="000B4E1F" w:rsidRDefault="00656002" w:rsidP="00C53CA3">
      <w:pPr>
        <w:pStyle w:val="Figure"/>
        <w:rPr>
          <w:i/>
          <w:iCs/>
        </w:rPr>
      </w:pPr>
      <w:r w:rsidRPr="000B4E1F">
        <w:t>A responsive and well-functioning NDIS market ensures</w:t>
      </w:r>
    </w:p>
    <w:p w14:paraId="46627176" w14:textId="77777777" w:rsidR="00656002" w:rsidRPr="00987367" w:rsidRDefault="00656002" w:rsidP="000B4E1F">
      <w:pPr>
        <w:rPr>
          <w:highlight w:val="yellow"/>
        </w:rPr>
      </w:pPr>
      <w:r w:rsidRPr="000B4E1F">
        <w:t xml:space="preserve"> </w:t>
      </w:r>
      <w:r w:rsidR="000B4E1F" w:rsidRPr="000B4E1F">
        <w:rPr>
          <w:noProof/>
          <w:lang w:eastAsia="en-AU"/>
        </w:rPr>
        <w:drawing>
          <wp:inline distT="0" distB="0" distL="0" distR="0" wp14:anchorId="530AD901" wp14:editId="6233F079">
            <wp:extent cx="5981700" cy="2362200"/>
            <wp:effectExtent l="0" t="0" r="0" b="0"/>
            <wp:docPr id="1" name="Picture 1" descr="Figure 5. A responsive and well-functioning NDIS market ensures&#10;1. Participants access safe and sufficient quality services &#10;that support them to live an ordinary life.&#10;2. Participants and their families exercise informed choice over &#10;their providers and supports. Providers are responsive &#10;to participants’ needs.&#10;3. Providers and intermediaries are innovative and invest&#10;in the capability of participants and their worker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81700" cy="2362200"/>
                    </a:xfrm>
                    <a:prstGeom prst="rect">
                      <a:avLst/>
                    </a:prstGeom>
                    <a:noFill/>
                    <a:ln>
                      <a:noFill/>
                    </a:ln>
                  </pic:spPr>
                </pic:pic>
              </a:graphicData>
            </a:graphic>
          </wp:inline>
        </w:drawing>
      </w:r>
    </w:p>
    <w:p w14:paraId="49A783A6" w14:textId="77777777" w:rsidR="00656002" w:rsidRDefault="00656002" w:rsidP="00656002">
      <w:r>
        <w:lastRenderedPageBreak/>
        <w:t>To achieve these objectives</w:t>
      </w:r>
      <w:r w:rsidRPr="3DFFC190">
        <w:t xml:space="preserve">, governments should </w:t>
      </w:r>
      <w:r>
        <w:t>monitor</w:t>
      </w:r>
      <w:r w:rsidRPr="3DFFC190">
        <w:t xml:space="preserve"> NDIS markets and intervene when necessary</w:t>
      </w:r>
      <w:r>
        <w:t xml:space="preserve"> using a range of market tools (</w:t>
      </w:r>
      <w:r w:rsidRPr="001C4AE1">
        <w:rPr>
          <w:i/>
        </w:rPr>
        <w:t xml:space="preserve">Figure </w:t>
      </w:r>
      <w:r>
        <w:rPr>
          <w:i/>
        </w:rPr>
        <w:t>6</w:t>
      </w:r>
      <w:r>
        <w:t>)</w:t>
      </w:r>
      <w:r w:rsidRPr="3DFFC190">
        <w:t xml:space="preserve">. They need to monitor outcomes and carefully balance considerations of efficiency, effectiveness and equity. </w:t>
      </w:r>
    </w:p>
    <w:p w14:paraId="3A725198" w14:textId="67CB902B" w:rsidR="00656002" w:rsidRPr="00491C01" w:rsidRDefault="00656002" w:rsidP="00C53CA3">
      <w:pPr>
        <w:pStyle w:val="Figure"/>
      </w:pPr>
      <w:bookmarkStart w:id="205" w:name="Fig6"/>
      <w:bookmarkEnd w:id="205"/>
      <w:r w:rsidRPr="00622029">
        <w:t>An overview of the range of market tools government can use to ensure the effective delivery of supports and, ultimately, outcomes for participants</w:t>
      </w:r>
    </w:p>
    <w:p w14:paraId="4EB10956" w14:textId="77777777" w:rsidR="00994634" w:rsidRDefault="00656002" w:rsidP="00BC0D7A">
      <w:r w:rsidRPr="00656002">
        <w:rPr>
          <w:noProof/>
          <w:lang w:eastAsia="en-AU"/>
        </w:rPr>
        <w:drawing>
          <wp:inline distT="0" distB="0" distL="0" distR="0" wp14:anchorId="7D9D4E7C" wp14:editId="16D8E6E8">
            <wp:extent cx="6076950" cy="2676525"/>
            <wp:effectExtent l="0" t="0" r="0" b="0"/>
            <wp:docPr id="7" name="Picture 7" descr="Figure 6. Description in Appendix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076950" cy="2676525"/>
                    </a:xfrm>
                    <a:prstGeom prst="rect">
                      <a:avLst/>
                    </a:prstGeom>
                    <a:noFill/>
                    <a:ln>
                      <a:noFill/>
                    </a:ln>
                  </pic:spPr>
                </pic:pic>
              </a:graphicData>
            </a:graphic>
          </wp:inline>
        </w:drawing>
      </w:r>
    </w:p>
    <w:p w14:paraId="78C00F44" w14:textId="50C0959E" w:rsidR="00D25923" w:rsidRDefault="00B67CD4" w:rsidP="00BC0D7A">
      <w:hyperlink w:anchor="_Figure_6_-" w:history="1">
        <w:r>
          <w:rPr>
            <w:rStyle w:val="Hyperlink"/>
            <w:rFonts w:asciiTheme="minorHAnsi" w:hAnsiTheme="minorHAnsi"/>
          </w:rPr>
          <w:t xml:space="preserve">Figure 6 </w:t>
        </w:r>
        <w:r w:rsidR="00C53CA3" w:rsidRPr="00C53CA3">
          <w:rPr>
            <w:rStyle w:val="Hyperlink"/>
            <w:rFonts w:asciiTheme="minorHAnsi" w:hAnsiTheme="minorHAnsi"/>
          </w:rPr>
          <w:t>text description</w:t>
        </w:r>
      </w:hyperlink>
    </w:p>
    <w:p w14:paraId="7B169A89" w14:textId="77777777" w:rsidR="00656002" w:rsidRDefault="00656002" w:rsidP="00656002">
      <w:r>
        <w:t xml:space="preserve">However, </w:t>
      </w:r>
      <w:r w:rsidDel="00A72C2E">
        <w:t>our</w:t>
      </w:r>
      <w:r w:rsidRPr="3DFFC190" w:rsidDel="00A72C2E">
        <w:t xml:space="preserve"> </w:t>
      </w:r>
      <w:r>
        <w:t>work on improving access to services</w:t>
      </w:r>
      <w:r w:rsidRPr="3DFFC190">
        <w:t xml:space="preserve"> </w:t>
      </w:r>
      <w:r w:rsidRPr="00BF5493" w:rsidDel="00A72C2E">
        <w:rPr>
          <w:rFonts w:eastAsia="Times New Roman"/>
          <w:lang w:eastAsia="en-AU"/>
        </w:rPr>
        <w:t>for remote and First Nations communities</w:t>
      </w:r>
      <w:r w:rsidRPr="3DFFC190">
        <w:t xml:space="preserve"> </w:t>
      </w:r>
      <w:r>
        <w:t>found that NDIS</w:t>
      </w:r>
      <w:r w:rsidRPr="3DFFC190">
        <w:t xml:space="preserve"> markets</w:t>
      </w:r>
      <w:r>
        <w:t xml:space="preserve"> are not </w:t>
      </w:r>
      <w:r w:rsidRPr="3DFFC190">
        <w:t>function</w:t>
      </w:r>
      <w:r>
        <w:t xml:space="preserve">ing well. We found </w:t>
      </w:r>
      <w:r w:rsidRPr="3DFFC190">
        <w:t xml:space="preserve">governments </w:t>
      </w:r>
      <w:r>
        <w:t xml:space="preserve">need to </w:t>
      </w:r>
      <w:r w:rsidRPr="3DFFC190">
        <w:t>take an active and flexible approach to market stewardship.</w:t>
      </w:r>
    </w:p>
    <w:p w14:paraId="2D337D45" w14:textId="77777777" w:rsidR="00656002" w:rsidRDefault="00656002" w:rsidP="00656002">
      <w:pPr>
        <w:rPr>
          <w:rFonts w:cstheme="minorHAnsi"/>
          <w:lang w:val="en-US"/>
        </w:rPr>
      </w:pPr>
      <w:r>
        <w:t xml:space="preserve">The poor market outcomes in the NDIS (outlined in </w:t>
      </w:r>
      <w:r w:rsidRPr="00CF7101">
        <w:rPr>
          <w:i/>
        </w:rPr>
        <w:t>Section 1</w:t>
      </w:r>
      <w:r>
        <w:t xml:space="preserve">) reflect in part a lack of a clear, </w:t>
      </w:r>
      <w:r w:rsidRPr="00CF7101">
        <w:rPr>
          <w:rFonts w:cstheme="minorHAnsi"/>
        </w:rPr>
        <w:t>coherent and transpare</w:t>
      </w:r>
      <w:r>
        <w:rPr>
          <w:rFonts w:cstheme="minorHAnsi"/>
        </w:rPr>
        <w:t>nt</w:t>
      </w:r>
      <w:r w:rsidRPr="00CF7101">
        <w:rPr>
          <w:rFonts w:cstheme="minorHAnsi"/>
        </w:rPr>
        <w:t xml:space="preserve"> strategy </w:t>
      </w:r>
      <w:r>
        <w:rPr>
          <w:rFonts w:cstheme="minorHAnsi"/>
        </w:rPr>
        <w:t>to steward the</w:t>
      </w:r>
      <w:r w:rsidRPr="00CF7101">
        <w:rPr>
          <w:rFonts w:cstheme="minorHAnsi"/>
        </w:rPr>
        <w:t xml:space="preserve"> NDIS market</w:t>
      </w:r>
      <w:r>
        <w:rPr>
          <w:rFonts w:cstheme="minorHAnsi"/>
        </w:rPr>
        <w:t xml:space="preserve">. Governments – the NDIA, NDIS Commission, Department of Social Services and states and territories – have not implemented clear </w:t>
      </w:r>
      <w:r w:rsidRPr="00F862E4">
        <w:rPr>
          <w:rFonts w:cstheme="minorHAnsi"/>
          <w:lang w:val="en-US"/>
        </w:rPr>
        <w:t>roles and responsibilities</w:t>
      </w:r>
      <w:r>
        <w:rPr>
          <w:rFonts w:cstheme="minorHAnsi"/>
          <w:lang w:val="en-US"/>
        </w:rPr>
        <w:t xml:space="preserve"> to develop the NDIS market.</w:t>
      </w:r>
    </w:p>
    <w:p w14:paraId="2B599184" w14:textId="77777777" w:rsidR="00656002" w:rsidRPr="00E239E6" w:rsidRDefault="00656002" w:rsidP="00656002">
      <w:pPr>
        <w:pStyle w:val="Heading3"/>
        <w:rPr>
          <w:lang w:eastAsia="en-AU"/>
        </w:rPr>
      </w:pPr>
      <w:r>
        <w:lastRenderedPageBreak/>
        <w:t>Governments</w:t>
      </w:r>
      <w:r w:rsidRPr="00E239E6">
        <w:t xml:space="preserve"> must understand the nature of participants, supports and providers and apply a mix of market tools </w:t>
      </w:r>
      <w:r>
        <w:t>when designing market approaches</w:t>
      </w:r>
    </w:p>
    <w:p w14:paraId="26303971" w14:textId="77777777" w:rsidR="00656002" w:rsidRDefault="00656002" w:rsidP="00656002">
      <w:pPr>
        <w:rPr>
          <w:rFonts w:cstheme="minorHAnsi"/>
        </w:rPr>
      </w:pPr>
      <w:r w:rsidRPr="00E239E6">
        <w:rPr>
          <w:rFonts w:cstheme="minorHAnsi"/>
        </w:rPr>
        <w:t>The NDIS is not one market, but a compl</w:t>
      </w:r>
      <w:r>
        <w:rPr>
          <w:rFonts w:cstheme="minorHAnsi"/>
        </w:rPr>
        <w:t>ex system of ‘sub-markets’.</w:t>
      </w:r>
    </w:p>
    <w:p w14:paraId="23185847" w14:textId="77777777" w:rsidR="00656002" w:rsidRPr="00940B88" w:rsidRDefault="00656002" w:rsidP="00656002">
      <w:pPr>
        <w:rPr>
          <w:rFonts w:cstheme="minorHAnsi"/>
        </w:rPr>
      </w:pPr>
      <w:r w:rsidRPr="00E239E6">
        <w:rPr>
          <w:rFonts w:cstheme="minorHAnsi"/>
        </w:rPr>
        <w:t>The approach to service delivery and market stewardship needs to reflect the nature of participants, supports and providers in each sub-market</w:t>
      </w:r>
      <w:r>
        <w:rPr>
          <w:rFonts w:cstheme="minorHAnsi"/>
        </w:rPr>
        <w:t xml:space="preserve"> (including, for example, in remote and very remote communities)</w:t>
      </w:r>
      <w:r w:rsidRPr="00766722">
        <w:rPr>
          <w:rFonts w:cstheme="minorHAnsi"/>
        </w:rPr>
        <w:t xml:space="preserve"> </w:t>
      </w:r>
      <w:r>
        <w:rPr>
          <w:rFonts w:cstheme="minorHAnsi"/>
        </w:rPr>
        <w:t>(</w:t>
      </w:r>
      <w:r w:rsidRPr="00671666">
        <w:rPr>
          <w:rFonts w:cstheme="minorHAnsi"/>
          <w:i/>
        </w:rPr>
        <w:t>Figure 7</w:t>
      </w:r>
      <w:r>
        <w:rPr>
          <w:rFonts w:cstheme="minorHAnsi"/>
        </w:rPr>
        <w:t>)</w:t>
      </w:r>
      <w:r w:rsidRPr="00E239E6">
        <w:rPr>
          <w:rFonts w:cstheme="minorHAnsi"/>
        </w:rPr>
        <w:t xml:space="preserve">. </w:t>
      </w:r>
      <w:r>
        <w:rPr>
          <w:rFonts w:cstheme="minorHAnsi"/>
        </w:rPr>
        <w:t xml:space="preserve">For example, governments may take a different approach when setting out the rules and procedures </w:t>
      </w:r>
      <w:r>
        <w:t>across:</w:t>
      </w:r>
    </w:p>
    <w:p w14:paraId="77FF666B" w14:textId="77777777" w:rsidR="00656002" w:rsidRDefault="00656002" w:rsidP="002D26D4">
      <w:pPr>
        <w:pStyle w:val="Listbullets-Level1"/>
      </w:pPr>
      <w:r w:rsidRPr="00987367">
        <w:t xml:space="preserve">Core supports </w:t>
      </w:r>
      <w:r>
        <w:t xml:space="preserve">– these supports (particularly for personal care) depend heavily on relationships. Support needs can vary across participants (for example, between children and adults). Typically these </w:t>
      </w:r>
      <w:r w:rsidRPr="003700F1">
        <w:t>are ongoing</w:t>
      </w:r>
      <w:r>
        <w:t>,</w:t>
      </w:r>
      <w:r w:rsidRPr="003700F1">
        <w:t xml:space="preserve"> need to be delivered face-to-face</w:t>
      </w:r>
      <w:r>
        <w:t xml:space="preserve"> </w:t>
      </w:r>
      <w:r w:rsidRPr="00C43B4E">
        <w:t>and, ideally, are provided by stable staff who deeply understand the participant and their needs</w:t>
      </w:r>
      <w:r w:rsidRPr="003700F1">
        <w:t xml:space="preserve">. </w:t>
      </w:r>
    </w:p>
    <w:p w14:paraId="1C0913C7" w14:textId="77777777" w:rsidR="00656002" w:rsidRDefault="00656002" w:rsidP="002D26D4">
      <w:pPr>
        <w:pStyle w:val="Listbullets-Level1"/>
      </w:pPr>
      <w:r w:rsidRPr="00987367">
        <w:t xml:space="preserve">Capacity building supports </w:t>
      </w:r>
      <w:r>
        <w:t>– these supports depend heavily on trusted relationships and professional</w:t>
      </w:r>
      <w:r w:rsidRPr="3DFFC190">
        <w:t xml:space="preserve"> </w:t>
      </w:r>
      <w:r>
        <w:t>opinions and should be based on evidence of best practice. Providers are also likely to have opportunities to deliver in other sectors, such as health and aged care.</w:t>
      </w:r>
    </w:p>
    <w:p w14:paraId="23488B57" w14:textId="77777777" w:rsidR="00656002" w:rsidRDefault="00656002" w:rsidP="002D26D4">
      <w:pPr>
        <w:pStyle w:val="Listbullets-Level1"/>
      </w:pPr>
      <w:r w:rsidRPr="00987367">
        <w:t xml:space="preserve">Capital supports </w:t>
      </w:r>
      <w:r>
        <w:t xml:space="preserve">(such as, assistive technology) – these supports are often one-off in nature. Participants and regulators, </w:t>
      </w:r>
      <w:r w:rsidRPr="00B312B6">
        <w:t>therefore</w:t>
      </w:r>
      <w:r>
        <w:t>, may</w:t>
      </w:r>
      <w:r w:rsidRPr="00B312B6">
        <w:t xml:space="preserve"> need </w:t>
      </w:r>
      <w:r>
        <w:t>professional</w:t>
      </w:r>
      <w:r w:rsidRPr="3DFFC190">
        <w:t xml:space="preserve"> </w:t>
      </w:r>
      <w:r w:rsidRPr="00B312B6">
        <w:t>advice given a huge range of alternatives and the often specialised nature of the</w:t>
      </w:r>
      <w:r>
        <w:t>se</w:t>
      </w:r>
      <w:r w:rsidRPr="00B312B6">
        <w:t xml:space="preserve"> supports</w:t>
      </w:r>
      <w:r>
        <w:t>.</w:t>
      </w:r>
    </w:p>
    <w:p w14:paraId="423327F1" w14:textId="2A147CC0" w:rsidR="00092094" w:rsidRDefault="00656002" w:rsidP="00BC0D7A">
      <w:pPr>
        <w:pStyle w:val="Figure"/>
      </w:pPr>
      <w:bookmarkStart w:id="206" w:name="Fig7"/>
      <w:bookmarkEnd w:id="206"/>
      <w:r w:rsidRPr="00622029">
        <w:t xml:space="preserve">Market stewards can use a mix of the following market-based tools </w:t>
      </w:r>
      <w:r w:rsidRPr="00622029">
        <w:rPr>
          <w:iCs/>
        </w:rPr>
        <w:t>to achieve the following objectives for the NDIS market:</w:t>
      </w:r>
    </w:p>
    <w:p w14:paraId="3F90162D" w14:textId="77777777" w:rsidR="00034FAD" w:rsidRDefault="00034FAD" w:rsidP="00092094">
      <w:pPr>
        <w:jc w:val="center"/>
      </w:pPr>
      <w:r w:rsidRPr="00034FAD">
        <w:rPr>
          <w:noProof/>
          <w:lang w:eastAsia="en-AU"/>
        </w:rPr>
        <w:lastRenderedPageBreak/>
        <w:drawing>
          <wp:inline distT="0" distB="0" distL="0" distR="0" wp14:anchorId="1A1F0F80" wp14:editId="01784682">
            <wp:extent cx="5611140" cy="3604612"/>
            <wp:effectExtent l="0" t="0" r="8890" b="0"/>
            <wp:docPr id="9" name="Picture 9" descr="Figure 7. Description in appendix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5611140" cy="3604612"/>
                    </a:xfrm>
                    <a:prstGeom prst="rect">
                      <a:avLst/>
                    </a:prstGeom>
                    <a:noFill/>
                    <a:ln>
                      <a:noFill/>
                    </a:ln>
                    <a:extLst>
                      <a:ext uri="{53640926-AAD7-44D8-BBD7-CCE9431645EC}">
                        <a14:shadowObscured xmlns:a14="http://schemas.microsoft.com/office/drawing/2010/main"/>
                      </a:ext>
                    </a:extLst>
                  </pic:spPr>
                </pic:pic>
              </a:graphicData>
            </a:graphic>
          </wp:inline>
        </w:drawing>
      </w:r>
    </w:p>
    <w:p w14:paraId="15AF9D15" w14:textId="74187263" w:rsidR="00092094" w:rsidRDefault="00B67CD4" w:rsidP="00092094">
      <w:hyperlink w:anchor="_Figure_7_-" w:history="1">
        <w:r>
          <w:rPr>
            <w:rStyle w:val="Hyperlink"/>
            <w:rFonts w:asciiTheme="minorHAnsi" w:hAnsiTheme="minorHAnsi"/>
          </w:rPr>
          <w:t>F</w:t>
        </w:r>
        <w:r w:rsidR="00092094" w:rsidRPr="00092094">
          <w:rPr>
            <w:rStyle w:val="Hyperlink"/>
            <w:rFonts w:asciiTheme="minorHAnsi" w:hAnsiTheme="minorHAnsi"/>
          </w:rPr>
          <w:t>igure</w:t>
        </w:r>
        <w:r>
          <w:rPr>
            <w:rStyle w:val="Hyperlink"/>
            <w:rFonts w:asciiTheme="minorHAnsi" w:hAnsiTheme="minorHAnsi"/>
          </w:rPr>
          <w:t xml:space="preserve"> 7 text description</w:t>
        </w:r>
      </w:hyperlink>
    </w:p>
    <w:p w14:paraId="0D29F537" w14:textId="77777777" w:rsidR="00034FAD" w:rsidRDefault="00034FAD">
      <w:pPr>
        <w:spacing w:after="200" w:line="288" w:lineRule="auto"/>
      </w:pPr>
      <w:r>
        <w:br w:type="page"/>
      </w:r>
    </w:p>
    <w:p w14:paraId="1DB0F681" w14:textId="77777777" w:rsidR="006A1050" w:rsidRPr="002E158B" w:rsidRDefault="006A1050" w:rsidP="006A1050">
      <w:pPr>
        <w:pStyle w:val="Heading2"/>
        <w:numPr>
          <w:ilvl w:val="0"/>
          <w:numId w:val="20"/>
        </w:numPr>
      </w:pPr>
      <w:bookmarkStart w:id="207" w:name="_Toc124362728"/>
      <w:bookmarkStart w:id="208" w:name="_Toc124412357"/>
      <w:bookmarkStart w:id="209" w:name="_Toc124445172"/>
      <w:bookmarkStart w:id="210" w:name="_Toc124456000"/>
      <w:bookmarkStart w:id="211" w:name="_Toc124424843"/>
      <w:bookmarkStart w:id="212" w:name="_Toc129879040"/>
      <w:bookmarkStart w:id="213" w:name="_Toc129965653"/>
      <w:bookmarkStart w:id="214" w:name="_Toc129966518"/>
      <w:bookmarkStart w:id="215" w:name="_Toc131502166"/>
      <w:bookmarkStart w:id="216" w:name="_Toc131580662"/>
      <w:bookmarkStart w:id="217" w:name="_Toc131596907"/>
      <w:bookmarkStart w:id="218" w:name="_Toc131602770"/>
      <w:bookmarkStart w:id="219" w:name="_Toc131613591"/>
      <w:bookmarkStart w:id="220" w:name="_Toc131621599"/>
      <w:bookmarkStart w:id="221" w:name="_Toc131631053"/>
      <w:bookmarkStart w:id="222" w:name="_Toc131674149"/>
      <w:bookmarkStart w:id="223" w:name="_Toc131679197"/>
      <w:bookmarkStart w:id="224" w:name="_Toc131682016"/>
      <w:bookmarkStart w:id="225" w:name="_Toc131685023"/>
      <w:bookmarkStart w:id="226" w:name="_Toc131686297"/>
      <w:bookmarkStart w:id="227" w:name="_Toc132205306"/>
      <w:bookmarkStart w:id="228" w:name="_Toc132205416"/>
      <w:bookmarkStart w:id="229" w:name="_Toc132213576"/>
      <w:bookmarkStart w:id="230" w:name="_Toc132217938"/>
      <w:bookmarkStart w:id="231" w:name="_Toc132230943"/>
      <w:bookmarkStart w:id="232" w:name="_Toc132235054"/>
      <w:bookmarkStart w:id="233" w:name="_Toc132371373"/>
      <w:bookmarkStart w:id="234" w:name="_Toc132375320"/>
      <w:bookmarkStart w:id="235" w:name="_Toc132378672"/>
      <w:bookmarkStart w:id="236" w:name="_Toc132387987"/>
      <w:bookmarkStart w:id="237" w:name="_Toc132389787"/>
      <w:bookmarkStart w:id="238" w:name="_Toc132458021"/>
      <w:bookmarkStart w:id="239" w:name="_Toc132474962"/>
      <w:bookmarkStart w:id="240" w:name="_Toc132620282"/>
      <w:bookmarkStart w:id="241" w:name="_Toc132622469"/>
      <w:bookmarkStart w:id="242" w:name="_Toc132623271"/>
      <w:bookmarkStart w:id="243" w:name="_Toc132624477"/>
      <w:bookmarkStart w:id="244" w:name="_Toc132635188"/>
      <w:bookmarkStart w:id="245" w:name="_Toc132635335"/>
      <w:bookmarkStart w:id="246" w:name="_Toc134122490"/>
      <w:bookmarkStart w:id="247" w:name="_Toc134621119"/>
      <w:bookmarkStart w:id="248" w:name="_Toc135390389"/>
      <w:bookmarkStart w:id="249" w:name="_Toc130805375"/>
      <w:bookmarkStart w:id="250" w:name="_Toc130812196"/>
      <w:bookmarkStart w:id="251" w:name="_Toc130829312"/>
      <w:bookmarkStart w:id="252" w:name="_Toc130918874"/>
      <w:bookmarkStart w:id="253" w:name="_Toc130922072"/>
      <w:bookmarkStart w:id="254" w:name="_Toc130987676"/>
      <w:bookmarkStart w:id="255" w:name="_Toc130991791"/>
      <w:bookmarkStart w:id="256" w:name="_Toc130994339"/>
      <w:bookmarkStart w:id="257" w:name="_Toc131059863"/>
      <w:bookmarkStart w:id="258" w:name="_Toc131168282"/>
      <w:bookmarkStart w:id="259" w:name="_Toc131170994"/>
      <w:bookmarkStart w:id="260" w:name="_Toc131181843"/>
      <w:bookmarkStart w:id="261" w:name="_Toc131352084"/>
      <w:bookmarkStart w:id="262" w:name="_Toc131414746"/>
      <w:r w:rsidRPr="002E158B">
        <w:lastRenderedPageBreak/>
        <w:t xml:space="preserve">Price caps remain the primary market tool </w:t>
      </w:r>
      <w:bookmarkEnd w:id="207"/>
      <w:bookmarkEnd w:id="208"/>
      <w:bookmarkEnd w:id="209"/>
      <w:bookmarkEnd w:id="210"/>
      <w:bookmarkEnd w:id="211"/>
      <w:bookmarkEnd w:id="212"/>
      <w:bookmarkEnd w:id="213"/>
      <w:bookmarkEnd w:id="214"/>
      <w:r w:rsidRPr="002E158B">
        <w:t>actively used by the NDIA</w:t>
      </w:r>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r w:rsidRPr="002E158B">
        <w:t xml:space="preserve"> </w:t>
      </w:r>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p>
    <w:p w14:paraId="28ED7D32" w14:textId="77777777" w:rsidR="006A1050" w:rsidRDefault="006A1050" w:rsidP="006A1050">
      <w:pPr>
        <w:rPr>
          <w:rFonts w:eastAsia="Times New Roman" w:cstheme="minorHAnsi"/>
          <w:lang w:eastAsia="en-AU"/>
        </w:rPr>
      </w:pPr>
      <w:r w:rsidRPr="00E239E6" w:rsidDel="00BF2325">
        <w:rPr>
          <w:rFonts w:eastAsia="Times New Roman" w:cstheme="minorHAnsi"/>
          <w:lang w:eastAsia="en-AU"/>
        </w:rPr>
        <w:t>Around</w:t>
      </w:r>
      <w:r w:rsidDel="00BF2325">
        <w:rPr>
          <w:rFonts w:eastAsia="Times New Roman" w:cstheme="minorHAnsi"/>
          <w:lang w:eastAsia="en-AU"/>
        </w:rPr>
        <w:t xml:space="preserve"> </w:t>
      </w:r>
      <w:r>
        <w:rPr>
          <w:rFonts w:eastAsia="Times New Roman" w:cstheme="minorHAnsi"/>
          <w:lang w:eastAsia="en-AU"/>
        </w:rPr>
        <w:t>80</w:t>
      </w:r>
      <w:r>
        <w:rPr>
          <w:rFonts w:eastAsia="Times New Roman"/>
          <w:lang w:eastAsia="en-AU"/>
        </w:rPr>
        <w:t>%</w:t>
      </w:r>
      <w:r w:rsidRPr="008D1181">
        <w:rPr>
          <w:rFonts w:eastAsia="Times New Roman" w:cstheme="minorHAnsi"/>
          <w:lang w:eastAsia="en-AU"/>
        </w:rPr>
        <w:t xml:space="preserve"> </w:t>
      </w:r>
      <w:r w:rsidRPr="00E239E6">
        <w:rPr>
          <w:rFonts w:eastAsia="Times New Roman" w:cstheme="minorHAnsi"/>
          <w:lang w:eastAsia="en-AU"/>
        </w:rPr>
        <w:t xml:space="preserve">of NDIS payments </w:t>
      </w:r>
      <w:r w:rsidRPr="00E239E6" w:rsidDel="00BF2325">
        <w:rPr>
          <w:rFonts w:eastAsia="Times New Roman" w:cstheme="minorHAnsi"/>
          <w:lang w:eastAsia="en-AU"/>
        </w:rPr>
        <w:t>between October and December 2022</w:t>
      </w:r>
      <w:r w:rsidRPr="00E239E6">
        <w:rPr>
          <w:rFonts w:eastAsia="Times New Roman" w:cstheme="minorHAnsi"/>
          <w:lang w:eastAsia="en-AU"/>
        </w:rPr>
        <w:t xml:space="preserve"> were subject to a price cap.</w:t>
      </w:r>
      <w:r w:rsidRPr="00E239E6">
        <w:rPr>
          <w:rStyle w:val="EndnoteReference"/>
          <w:rFonts w:eastAsia="Times New Roman" w:cstheme="minorHAnsi"/>
          <w:lang w:eastAsia="en-AU"/>
        </w:rPr>
        <w:endnoteReference w:id="29"/>
      </w:r>
    </w:p>
    <w:p w14:paraId="39E8A1D5" w14:textId="77777777" w:rsidR="006A1050" w:rsidRDefault="006A1050" w:rsidP="006A1050">
      <w:pPr>
        <w:rPr>
          <w:rFonts w:eastAsia="Times New Roman" w:cstheme="minorHAnsi"/>
          <w:lang w:eastAsia="en-AU"/>
        </w:rPr>
      </w:pPr>
      <w:r w:rsidRPr="00E239E6">
        <w:rPr>
          <w:rFonts w:eastAsia="Times New Roman" w:cstheme="minorHAnsi"/>
          <w:lang w:eastAsia="en-AU"/>
        </w:rPr>
        <w:t>Price controls</w:t>
      </w:r>
      <w:r>
        <w:rPr>
          <w:rFonts w:eastAsia="Times New Roman" w:cstheme="minorHAnsi"/>
          <w:lang w:eastAsia="en-AU"/>
        </w:rPr>
        <w:t xml:space="preserve"> also include billing rules as well as limits on </w:t>
      </w:r>
      <w:r w:rsidRPr="00E239E6">
        <w:rPr>
          <w:rFonts w:eastAsia="Times New Roman" w:cstheme="minorHAnsi"/>
          <w:lang w:eastAsia="en-AU"/>
        </w:rPr>
        <w:t>‘quotable supports’</w:t>
      </w:r>
      <w:r>
        <w:rPr>
          <w:rFonts w:eastAsia="Times New Roman" w:cstheme="minorHAnsi"/>
          <w:lang w:eastAsia="en-AU"/>
        </w:rPr>
        <w:t xml:space="preserve">. ‘Quotable supports’ is </w:t>
      </w:r>
      <w:r w:rsidRPr="00E239E6">
        <w:rPr>
          <w:rFonts w:eastAsia="Times New Roman" w:cstheme="minorHAnsi"/>
          <w:lang w:eastAsia="en-AU"/>
        </w:rPr>
        <w:t>where</w:t>
      </w:r>
      <w:r>
        <w:rPr>
          <w:rFonts w:eastAsia="Times New Roman" w:cstheme="minorHAnsi"/>
          <w:lang w:eastAsia="en-AU"/>
        </w:rPr>
        <w:t xml:space="preserve"> </w:t>
      </w:r>
      <w:r w:rsidRPr="00E239E6">
        <w:rPr>
          <w:rFonts w:eastAsia="Times New Roman" w:cstheme="minorHAnsi"/>
          <w:lang w:eastAsia="en-AU"/>
        </w:rPr>
        <w:t>a participant is required to submit quotes to the NDIA for approval</w:t>
      </w:r>
      <w:r>
        <w:rPr>
          <w:rFonts w:eastAsia="Times New Roman" w:cstheme="minorHAnsi"/>
          <w:lang w:eastAsia="en-AU"/>
        </w:rPr>
        <w:t xml:space="preserve"> </w:t>
      </w:r>
      <w:r w:rsidRPr="00E239E6">
        <w:rPr>
          <w:rFonts w:eastAsia="Times New Roman" w:cstheme="minorHAnsi"/>
          <w:lang w:eastAsia="en-AU"/>
        </w:rPr>
        <w:t>rather than using a published price cap</w:t>
      </w:r>
      <w:r>
        <w:rPr>
          <w:rFonts w:eastAsia="Times New Roman" w:cstheme="minorHAnsi"/>
          <w:lang w:eastAsia="en-AU"/>
        </w:rPr>
        <w:t xml:space="preserve"> (</w:t>
      </w:r>
      <w:r w:rsidRPr="004C2E81">
        <w:rPr>
          <w:rFonts w:eastAsia="Times New Roman" w:cstheme="minorHAnsi"/>
          <w:i/>
          <w:lang w:eastAsia="en-AU"/>
        </w:rPr>
        <w:t>Figure 8</w:t>
      </w:r>
      <w:r>
        <w:rPr>
          <w:rFonts w:eastAsia="Times New Roman" w:cstheme="minorHAnsi"/>
          <w:lang w:eastAsia="en-AU"/>
        </w:rPr>
        <w:t>)</w:t>
      </w:r>
      <w:r w:rsidRPr="00E239E6">
        <w:rPr>
          <w:rFonts w:eastAsia="Times New Roman" w:cstheme="minorHAnsi"/>
          <w:lang w:eastAsia="en-AU"/>
        </w:rPr>
        <w:t>.</w:t>
      </w:r>
    </w:p>
    <w:p w14:paraId="2C954AD6" w14:textId="77777777" w:rsidR="006A1050" w:rsidRPr="00E239E6" w:rsidRDefault="006A1050" w:rsidP="006A1050">
      <w:pPr>
        <w:tabs>
          <w:tab w:val="left" w:pos="3969"/>
        </w:tabs>
        <w:rPr>
          <w:rFonts w:eastAsia="Times New Roman"/>
          <w:lang w:eastAsia="en-AU"/>
        </w:rPr>
      </w:pPr>
      <w:r w:rsidRPr="3DFFC190">
        <w:rPr>
          <w:rFonts w:eastAsia="Times New Roman"/>
          <w:lang w:eastAsia="en-AU"/>
        </w:rPr>
        <w:t>Price caps were meant to support the scheme during the early stages of market development</w:t>
      </w:r>
      <w:r>
        <w:rPr>
          <w:rFonts w:eastAsia="Times New Roman"/>
          <w:lang w:eastAsia="en-AU"/>
        </w:rPr>
        <w:t>. The intention was</w:t>
      </w:r>
      <w:r w:rsidRPr="3DFFC190">
        <w:rPr>
          <w:rFonts w:eastAsia="Times New Roman"/>
          <w:lang w:eastAsia="en-AU"/>
        </w:rPr>
        <w:t xml:space="preserve"> to </w:t>
      </w:r>
      <w:r>
        <w:rPr>
          <w:rFonts w:eastAsia="Times New Roman"/>
          <w:lang w:eastAsia="en-AU"/>
        </w:rPr>
        <w:t>prevent</w:t>
      </w:r>
      <w:r w:rsidRPr="3DFFC190">
        <w:rPr>
          <w:rFonts w:eastAsia="Times New Roman"/>
          <w:lang w:eastAsia="en-AU"/>
        </w:rPr>
        <w:t xml:space="preserve"> any large providers from using their market power to drive up prices, while also </w:t>
      </w:r>
      <w:r>
        <w:rPr>
          <w:rFonts w:eastAsia="Times New Roman"/>
          <w:lang w:eastAsia="en-AU"/>
        </w:rPr>
        <w:t>improving</w:t>
      </w:r>
      <w:r w:rsidRPr="3DFFC190">
        <w:t xml:space="preserve"> efficiency and</w:t>
      </w:r>
      <w:r>
        <w:t xml:space="preserve"> ensuring scheme</w:t>
      </w:r>
      <w:r w:rsidRPr="3DFFC190">
        <w:t xml:space="preserve"> sustainability.</w:t>
      </w:r>
    </w:p>
    <w:p w14:paraId="7664C124" w14:textId="77777777" w:rsidR="006A1050" w:rsidRPr="00E239E6" w:rsidRDefault="006A1050" w:rsidP="006A1050">
      <w:pPr>
        <w:pStyle w:val="Quote"/>
        <w:rPr>
          <w:rFonts w:eastAsia="Times New Roman" w:cstheme="minorHAnsi"/>
          <w:lang w:eastAsia="en-AU"/>
        </w:rPr>
      </w:pPr>
      <w:r>
        <w:rPr>
          <w:rFonts w:eastAsia="Times New Roman" w:cstheme="minorHAnsi"/>
          <w:lang w:eastAsia="en-AU"/>
        </w:rPr>
        <w:t>‘</w:t>
      </w:r>
      <w:r w:rsidRPr="006A1050">
        <w:rPr>
          <w:rFonts w:eastAsia="Times New Roman" w:cstheme="minorHAnsi"/>
          <w:b/>
          <w:color w:val="8F578F" w:themeColor="text2" w:themeShade="BF"/>
          <w:lang w:eastAsia="en-AU"/>
        </w:rPr>
        <w:t>During transition, price controls are in place to ensure that participants receive value for money in the supports that they receive</w:t>
      </w:r>
      <w:r w:rsidRPr="00E239E6">
        <w:rPr>
          <w:rFonts w:eastAsia="Times New Roman" w:cstheme="minorHAnsi"/>
          <w:lang w:eastAsia="en-AU"/>
        </w:rPr>
        <w:t>. In the short to medium term, price controls are required for some disability supports because the markets for disability goods and services are not yet fully developed. The longer-term goal of the NDIA is to remove regulatory mechanisms from the ma</w:t>
      </w:r>
      <w:r>
        <w:rPr>
          <w:rFonts w:eastAsia="Times New Roman" w:cstheme="minorHAnsi"/>
          <w:lang w:eastAsia="en-AU"/>
        </w:rPr>
        <w:t>rkets for disability supports.’</w:t>
      </w:r>
    </w:p>
    <w:p w14:paraId="12527446" w14:textId="77777777" w:rsidR="006A1050" w:rsidRPr="00010E8E" w:rsidRDefault="00AA6348" w:rsidP="00036C37">
      <w:pPr>
        <w:pStyle w:val="Quote"/>
        <w:rPr>
          <w:rFonts w:eastAsia="Times New Roman"/>
          <w:lang w:eastAsia="en-AU"/>
        </w:rPr>
      </w:pPr>
      <w:r w:rsidRPr="00994634">
        <w:t xml:space="preserve">– </w:t>
      </w:r>
      <w:r w:rsidR="006A1050">
        <w:rPr>
          <w:rFonts w:eastAsia="Times New Roman"/>
          <w:lang w:eastAsia="en-AU"/>
        </w:rPr>
        <w:t>NDIA</w:t>
      </w:r>
      <w:r w:rsidR="00987367">
        <w:rPr>
          <w:rStyle w:val="EndnoteReference"/>
        </w:rPr>
        <w:endnoteReference w:id="30"/>
      </w:r>
    </w:p>
    <w:p w14:paraId="00434E04" w14:textId="77777777" w:rsidR="006A1050" w:rsidRDefault="006A1050" w:rsidP="006A1050">
      <w:pPr>
        <w:rPr>
          <w:rFonts w:cstheme="minorHAnsi"/>
        </w:rPr>
      </w:pPr>
      <w:r w:rsidRPr="00B55AAE">
        <w:rPr>
          <w:rFonts w:eastAsia="Times New Roman"/>
          <w:lang w:eastAsia="en-AU"/>
        </w:rPr>
        <w:t xml:space="preserve">Ten years on, price caps have continued to be the primary tool used by the NDIA to steward the market and drive </w:t>
      </w:r>
      <w:r>
        <w:rPr>
          <w:rFonts w:eastAsia="Times New Roman"/>
          <w:lang w:eastAsia="en-AU"/>
        </w:rPr>
        <w:t>a measure of ‘cost efficient’</w:t>
      </w:r>
      <w:r w:rsidRPr="00B55AAE">
        <w:rPr>
          <w:rFonts w:eastAsia="Times New Roman"/>
          <w:lang w:eastAsia="en-AU"/>
        </w:rPr>
        <w:t xml:space="preserve"> service delivery.</w:t>
      </w:r>
      <w:r>
        <w:rPr>
          <w:rFonts w:eastAsia="Times New Roman"/>
          <w:lang w:eastAsia="en-AU"/>
        </w:rPr>
        <w:t xml:space="preserve"> </w:t>
      </w:r>
      <w:r>
        <w:rPr>
          <w:rFonts w:cstheme="minorHAnsi"/>
        </w:rPr>
        <w:t xml:space="preserve">That said, there are a few places where the NDIA is exploring different approaches to pricing (such as, </w:t>
      </w:r>
      <w:r>
        <w:t xml:space="preserve">by establishing a </w:t>
      </w:r>
      <w:r w:rsidRPr="000F08F6">
        <w:t>continence provider list</w:t>
      </w:r>
      <w:r>
        <w:t>).</w:t>
      </w:r>
      <w:r>
        <w:rPr>
          <w:rStyle w:val="EndnoteReference"/>
        </w:rPr>
        <w:endnoteReference w:id="31"/>
      </w:r>
      <w:r>
        <w:rPr>
          <w:rFonts w:cstheme="minorHAnsi"/>
        </w:rPr>
        <w:t xml:space="preserve"> </w:t>
      </w:r>
      <w:r w:rsidR="009D296A">
        <w:rPr>
          <w:rFonts w:cstheme="minorHAnsi"/>
        </w:rPr>
        <w:br w:type="page"/>
      </w:r>
    </w:p>
    <w:p w14:paraId="3114A5DA" w14:textId="77777777" w:rsidR="006A1050" w:rsidRDefault="006A1050" w:rsidP="00C53CA3">
      <w:pPr>
        <w:pStyle w:val="Figure"/>
      </w:pPr>
      <w:r w:rsidRPr="00966305">
        <w:lastRenderedPageBreak/>
        <w:t>Where are price controls applied in the NDIS?</w:t>
      </w:r>
      <w:r>
        <w:rPr>
          <w:rStyle w:val="EndnoteReference"/>
        </w:rPr>
        <w:endnoteReference w:id="32"/>
      </w:r>
    </w:p>
    <w:p w14:paraId="002B7118" w14:textId="77777777" w:rsidR="009D296A" w:rsidRPr="00987367" w:rsidRDefault="009D296A" w:rsidP="00F13EF0">
      <w:pPr>
        <w:pStyle w:val="B1-Heading3"/>
        <w:outlineLvl w:val="9"/>
      </w:pPr>
      <w:r w:rsidRPr="00987367">
        <w:t xml:space="preserve">Price caps </w:t>
      </w:r>
    </w:p>
    <w:p w14:paraId="1D9E5FDE" w14:textId="77777777" w:rsidR="009D296A" w:rsidRPr="009D296A" w:rsidRDefault="009D296A" w:rsidP="009D296A">
      <w:pPr>
        <w:pStyle w:val="B1-Body"/>
        <w:rPr>
          <w:b/>
        </w:rPr>
      </w:pPr>
      <w:r w:rsidRPr="009D296A">
        <w:rPr>
          <w:rFonts w:eastAsia="Segoe UI"/>
          <w:b/>
        </w:rPr>
        <w:t xml:space="preserve">80.1% of total value of supports </w:t>
      </w:r>
    </w:p>
    <w:p w14:paraId="5FD07953" w14:textId="77777777" w:rsidR="009D296A" w:rsidRPr="009D296A" w:rsidRDefault="009D296A" w:rsidP="009D296A">
      <w:pPr>
        <w:pStyle w:val="B1-Body"/>
      </w:pPr>
      <w:r w:rsidRPr="009D296A">
        <w:t xml:space="preserve">For agency- and plan-managed participants, price caps </w:t>
      </w:r>
      <w:r w:rsidRPr="009D296A">
        <w:rPr>
          <w:rFonts w:eastAsia="Segoe UI"/>
        </w:rPr>
        <w:t>apply to most supports</w:t>
      </w:r>
      <w:r w:rsidRPr="009D296A">
        <w:t xml:space="preserve"> and represent the maximum allowable price payable by participants for these supports</w:t>
      </w:r>
      <w:r w:rsidRPr="009D296A">
        <w:rPr>
          <w:rFonts w:eastAsia="Segoe UI"/>
        </w:rPr>
        <w:t>.</w:t>
      </w:r>
    </w:p>
    <w:p w14:paraId="5BCB5DC9" w14:textId="77777777" w:rsidR="009D296A" w:rsidRPr="009D296A" w:rsidRDefault="009D296A" w:rsidP="009D296A">
      <w:pPr>
        <w:pStyle w:val="B1-Body"/>
      </w:pPr>
      <w:r w:rsidRPr="009D296A">
        <w:t>Supports subject to price caps include therapy, Assistance with Daily Living, Community Participation, SIL and SDA.</w:t>
      </w:r>
    </w:p>
    <w:p w14:paraId="23D9D2CB" w14:textId="77777777" w:rsidR="009D296A" w:rsidRPr="009D296A" w:rsidRDefault="009D296A" w:rsidP="009D296A">
      <w:pPr>
        <w:pStyle w:val="B2-Heading3"/>
      </w:pPr>
      <w:r w:rsidRPr="009D296A">
        <w:t xml:space="preserve">Quotes </w:t>
      </w:r>
    </w:p>
    <w:p w14:paraId="7678895D" w14:textId="77777777" w:rsidR="009D296A" w:rsidRPr="009D296A" w:rsidRDefault="009D296A" w:rsidP="009D296A">
      <w:pPr>
        <w:pStyle w:val="B2-Body"/>
        <w:rPr>
          <w:b/>
        </w:rPr>
      </w:pPr>
      <w:r w:rsidRPr="009D296A">
        <w:rPr>
          <w:rFonts w:eastAsia="Segoe UI"/>
          <w:b/>
        </w:rPr>
        <w:t xml:space="preserve">1.9% of total value of supports </w:t>
      </w:r>
    </w:p>
    <w:p w14:paraId="093AA9E7" w14:textId="77777777" w:rsidR="009D296A" w:rsidRPr="009D296A" w:rsidRDefault="009D296A" w:rsidP="009D296A">
      <w:pPr>
        <w:pStyle w:val="B2-Body"/>
      </w:pPr>
      <w:r w:rsidRPr="009D296A">
        <w:t xml:space="preserve">For agency- and plan-managed participants, </w:t>
      </w:r>
      <w:r w:rsidRPr="009D296A">
        <w:rPr>
          <w:rFonts w:eastAsia="Segoe UI"/>
        </w:rPr>
        <w:t>quotes are required for most high value, highly differentiated supports.</w:t>
      </w:r>
    </w:p>
    <w:p w14:paraId="2A94B2CC" w14:textId="77777777" w:rsidR="009D296A" w:rsidRPr="009D296A" w:rsidRDefault="009D296A" w:rsidP="009D296A">
      <w:pPr>
        <w:pStyle w:val="B2-Body"/>
      </w:pPr>
      <w:r w:rsidRPr="009D296A">
        <w:rPr>
          <w:rFonts w:eastAsia="Segoe UI"/>
        </w:rPr>
        <w:t>Quotes are subject to approval by the NDIA on the basis of ‘fair and reasonable’.</w:t>
      </w:r>
    </w:p>
    <w:p w14:paraId="259C1893" w14:textId="77777777" w:rsidR="009D296A" w:rsidRPr="009D296A" w:rsidRDefault="009D296A" w:rsidP="009D296A">
      <w:pPr>
        <w:pStyle w:val="B2-Body"/>
      </w:pPr>
      <w:r w:rsidRPr="009D296A">
        <w:t>Supports that require quotes include assistive technology (AT) and home modifications.</w:t>
      </w:r>
    </w:p>
    <w:p w14:paraId="7067786C" w14:textId="77777777" w:rsidR="00656002" w:rsidRPr="009D296A" w:rsidRDefault="009D296A" w:rsidP="009D296A">
      <w:pPr>
        <w:pStyle w:val="B2-Body"/>
      </w:pPr>
      <w:r w:rsidRPr="009D296A">
        <w:t>Note that quotes are only required for AT items valued at $15,000 and over.</w:t>
      </w:r>
    </w:p>
    <w:p w14:paraId="4C83A9D7" w14:textId="77777777" w:rsidR="009D296A" w:rsidRPr="009D296A" w:rsidRDefault="009D296A" w:rsidP="009D296A">
      <w:pPr>
        <w:pStyle w:val="B3-Heading3"/>
      </w:pPr>
      <w:r w:rsidRPr="009D296A">
        <w:t xml:space="preserve">No price caps or quotation requirements </w:t>
      </w:r>
    </w:p>
    <w:p w14:paraId="72177871" w14:textId="77777777" w:rsidR="009D296A" w:rsidRPr="009D296A" w:rsidRDefault="009D296A" w:rsidP="009D296A">
      <w:pPr>
        <w:pStyle w:val="B3-Body"/>
        <w:rPr>
          <w:b/>
        </w:rPr>
      </w:pPr>
      <w:r w:rsidRPr="009D296A">
        <w:rPr>
          <w:rFonts w:eastAsia="Segoe UI"/>
          <w:b/>
        </w:rPr>
        <w:t xml:space="preserve">5.6% of total value of supports </w:t>
      </w:r>
    </w:p>
    <w:p w14:paraId="09747101" w14:textId="77777777" w:rsidR="009D296A" w:rsidRDefault="009D296A" w:rsidP="009D296A">
      <w:pPr>
        <w:pStyle w:val="B3-Body"/>
      </w:pPr>
      <w:r>
        <w:t>For agency- and plan-managed participants, low cost, high</w:t>
      </w:r>
      <w:r w:rsidR="00036C37">
        <w:t>ly variable supports offered in</w:t>
      </w:r>
      <w:r w:rsidR="00036C37">
        <w:br/>
      </w:r>
      <w:r>
        <w:t>well-developed markets are not subject to price caps or quotation requirements.</w:t>
      </w:r>
    </w:p>
    <w:p w14:paraId="531FE0D8" w14:textId="77777777" w:rsidR="009D296A" w:rsidRDefault="009D296A" w:rsidP="009D296A">
      <w:pPr>
        <w:pStyle w:val="B3-Body"/>
      </w:pPr>
      <w:r>
        <w:t>Instead, the provider and participant agree on the reasonable price for the support.</w:t>
      </w:r>
    </w:p>
    <w:p w14:paraId="0901A221" w14:textId="77777777" w:rsidR="009D296A" w:rsidRDefault="009D296A" w:rsidP="009D296A">
      <w:pPr>
        <w:pStyle w:val="B3-Body"/>
      </w:pPr>
      <w:r>
        <w:t>Supports include consumables, transport and some capacity building supports.</w:t>
      </w:r>
    </w:p>
    <w:p w14:paraId="1EB56F6F" w14:textId="77777777" w:rsidR="009D296A" w:rsidRPr="009D296A" w:rsidRDefault="009D296A" w:rsidP="009D296A">
      <w:pPr>
        <w:pStyle w:val="B4-Heading3"/>
      </w:pPr>
      <w:r w:rsidRPr="009D296A">
        <w:t>No price regulation on self-managed participants</w:t>
      </w:r>
    </w:p>
    <w:p w14:paraId="3180A594" w14:textId="77777777" w:rsidR="009D296A" w:rsidRPr="009D296A" w:rsidRDefault="009D296A" w:rsidP="009D296A">
      <w:pPr>
        <w:pStyle w:val="B4-Body"/>
        <w:rPr>
          <w:b/>
        </w:rPr>
      </w:pPr>
      <w:r w:rsidRPr="009D296A">
        <w:rPr>
          <w:rFonts w:eastAsia="Segoe UI"/>
          <w:b/>
        </w:rPr>
        <w:t xml:space="preserve">12.4% of total value of supports </w:t>
      </w:r>
    </w:p>
    <w:p w14:paraId="2F5CF7B5" w14:textId="77777777" w:rsidR="009D296A" w:rsidRPr="009D296A" w:rsidRDefault="009D296A" w:rsidP="009D296A">
      <w:pPr>
        <w:pStyle w:val="B4-Body"/>
      </w:pPr>
      <w:r>
        <w:rPr>
          <w:rFonts w:eastAsia="Segoe UI"/>
        </w:rPr>
        <w:t>No quotes or price caps for self-managed participants when using registered or unregistered providers – where participants or their delegate is assumed to have the capacity to act as an informed consumer.</w:t>
      </w:r>
    </w:p>
    <w:p w14:paraId="1C97A589" w14:textId="77777777" w:rsidR="00025FBA" w:rsidRDefault="00025FBA" w:rsidP="00F13EF0">
      <w:pPr>
        <w:pStyle w:val="Heading3"/>
        <w:rPr>
          <w:rFonts w:eastAsia="Times New Roman"/>
          <w:lang w:eastAsia="en-AU"/>
        </w:rPr>
      </w:pPr>
      <w:r>
        <w:rPr>
          <w:rFonts w:eastAsia="Times New Roman"/>
          <w:lang w:eastAsia="en-AU"/>
        </w:rPr>
        <w:lastRenderedPageBreak/>
        <w:t>How are price caps set in the NDIS?</w:t>
      </w:r>
    </w:p>
    <w:p w14:paraId="00B636E4" w14:textId="77777777" w:rsidR="00025FBA" w:rsidRDefault="00025FBA" w:rsidP="00025FBA">
      <w:pPr>
        <w:keepNext/>
        <w:keepLines/>
        <w:rPr>
          <w:rFonts w:eastAsia="Times New Roman" w:cstheme="minorHAnsi"/>
          <w:lang w:val="en-US" w:eastAsia="en-AU"/>
        </w:rPr>
      </w:pPr>
      <w:r w:rsidRPr="00E239E6">
        <w:rPr>
          <w:rFonts w:eastAsia="Times New Roman" w:cstheme="minorHAnsi"/>
          <w:lang w:eastAsia="en-AU"/>
        </w:rPr>
        <w:t xml:space="preserve">The NDIA has authority for setting price caps for </w:t>
      </w:r>
      <w:r>
        <w:t>NDIS</w:t>
      </w:r>
      <w:r w:rsidRPr="007E40DE">
        <w:rPr>
          <w:rFonts w:eastAsia="Times New Roman" w:cstheme="minorHAnsi"/>
          <w:lang w:eastAsia="en-AU"/>
        </w:rPr>
        <w:t xml:space="preserve"> </w:t>
      </w:r>
      <w:r w:rsidRPr="00E239E6">
        <w:rPr>
          <w:rFonts w:eastAsia="Times New Roman" w:cstheme="minorHAnsi"/>
          <w:lang w:eastAsia="en-AU"/>
        </w:rPr>
        <w:t>supports</w:t>
      </w:r>
      <w:r>
        <w:rPr>
          <w:rFonts w:eastAsia="Times New Roman" w:cstheme="minorHAnsi"/>
          <w:lang w:eastAsia="en-AU"/>
        </w:rPr>
        <w:t xml:space="preserve"> </w:t>
      </w:r>
      <w:r w:rsidRPr="007E40DE">
        <w:rPr>
          <w:rFonts w:eastAsia="Times New Roman" w:cstheme="minorHAnsi"/>
          <w:lang w:eastAsia="en-AU"/>
        </w:rPr>
        <w:t>(</w:t>
      </w:r>
      <w:r w:rsidRPr="004C2E81">
        <w:rPr>
          <w:rFonts w:eastAsia="Times New Roman" w:cstheme="minorHAnsi"/>
          <w:i/>
          <w:lang w:eastAsia="en-AU"/>
        </w:rPr>
        <w:t>Figure 9</w:t>
      </w:r>
      <w:r w:rsidRPr="007E40DE">
        <w:rPr>
          <w:rFonts w:eastAsia="Times New Roman" w:cstheme="minorHAnsi"/>
          <w:lang w:eastAsia="en-AU"/>
        </w:rPr>
        <w:t>)</w:t>
      </w:r>
      <w:r w:rsidRPr="00E239E6" w:rsidDel="00A15CA4">
        <w:rPr>
          <w:rFonts w:eastAsia="Times New Roman" w:cstheme="minorHAnsi"/>
          <w:lang w:eastAsia="en-AU"/>
        </w:rPr>
        <w:t>.</w:t>
      </w:r>
      <w:r w:rsidRPr="00224483">
        <w:rPr>
          <w:rFonts w:eastAsia="Times New Roman" w:cstheme="minorHAnsi"/>
          <w:lang w:val="en-US" w:eastAsia="en-AU"/>
        </w:rPr>
        <w:t xml:space="preserve"> </w:t>
      </w:r>
    </w:p>
    <w:p w14:paraId="69646C31" w14:textId="77777777" w:rsidR="00025FBA" w:rsidRPr="007B5A59" w:rsidRDefault="00025FBA" w:rsidP="00025FBA">
      <w:pPr>
        <w:rPr>
          <w:rFonts w:eastAsia="Times New Roman" w:cstheme="minorHAnsi"/>
          <w:lang w:val="en-US" w:eastAsia="en-AU"/>
        </w:rPr>
      </w:pPr>
      <w:r w:rsidRPr="007B5A59">
        <w:rPr>
          <w:rFonts w:eastAsia="Times New Roman" w:cstheme="minorHAnsi"/>
          <w:lang w:val="en-US" w:eastAsia="en-AU"/>
        </w:rPr>
        <w:t xml:space="preserve">In setting price caps, the NDIA has stated its intent has been to </w:t>
      </w:r>
      <w:r w:rsidRPr="007B5A59">
        <w:rPr>
          <w:rFonts w:cstheme="minorHAnsi"/>
        </w:rPr>
        <w:t>encourage growth in supply while driving efficiency, and</w:t>
      </w:r>
      <w:r w:rsidRPr="007B5A59">
        <w:rPr>
          <w:rFonts w:eastAsia="Times New Roman" w:cstheme="minorHAnsi"/>
          <w:lang w:val="en-US" w:eastAsia="en-AU"/>
        </w:rPr>
        <w:t xml:space="preserve"> ensuring participants receive value</w:t>
      </w:r>
      <w:r>
        <w:rPr>
          <w:rFonts w:eastAsia="Times New Roman" w:cstheme="minorHAnsi"/>
          <w:lang w:val="en-US" w:eastAsia="en-AU"/>
        </w:rPr>
        <w:t>-</w:t>
      </w:r>
      <w:r w:rsidRPr="007B5A59">
        <w:rPr>
          <w:rFonts w:eastAsia="Times New Roman" w:cstheme="minorHAnsi"/>
          <w:lang w:val="en-US" w:eastAsia="en-AU"/>
        </w:rPr>
        <w:t>for</w:t>
      </w:r>
      <w:r>
        <w:rPr>
          <w:rFonts w:eastAsia="Times New Roman" w:cstheme="minorHAnsi"/>
          <w:lang w:val="en-US" w:eastAsia="en-AU"/>
        </w:rPr>
        <w:t>-</w:t>
      </w:r>
      <w:r w:rsidRPr="007B5A59">
        <w:rPr>
          <w:rFonts w:eastAsia="Times New Roman" w:cstheme="minorHAnsi"/>
          <w:lang w:val="en-US" w:eastAsia="en-AU"/>
        </w:rPr>
        <w:t>money supports.</w:t>
      </w:r>
      <w:r w:rsidRPr="007B5A59">
        <w:rPr>
          <w:rStyle w:val="EndnoteReference"/>
          <w:rFonts w:eastAsia="Times New Roman" w:cstheme="minorHAnsi"/>
          <w:lang w:val="en-US" w:eastAsia="en-AU"/>
        </w:rPr>
        <w:endnoteReference w:id="33"/>
      </w:r>
    </w:p>
    <w:p w14:paraId="4C9789D0" w14:textId="77777777" w:rsidR="00025FBA" w:rsidRDefault="00025FBA" w:rsidP="00025FBA">
      <w:pPr>
        <w:rPr>
          <w:rFonts w:eastAsia="Times New Roman"/>
          <w:lang w:val="en-US" w:eastAsia="en-AU"/>
        </w:rPr>
      </w:pPr>
      <w:r w:rsidRPr="3DFFC190">
        <w:rPr>
          <w:rFonts w:eastAsia="Times New Roman"/>
          <w:lang w:val="en-US" w:eastAsia="en-AU"/>
        </w:rPr>
        <w:t xml:space="preserve">A lack of </w:t>
      </w:r>
      <w:r>
        <w:rPr>
          <w:rFonts w:eastAsia="Times New Roman"/>
          <w:lang w:val="en-US" w:eastAsia="en-AU"/>
        </w:rPr>
        <w:t xml:space="preserve">independent advice and evidence around pricing </w:t>
      </w:r>
      <w:r w:rsidRPr="3DFFC190">
        <w:rPr>
          <w:rFonts w:eastAsia="Times New Roman"/>
          <w:lang w:val="en-US" w:eastAsia="en-AU"/>
        </w:rPr>
        <w:t>decisions</w:t>
      </w:r>
      <w:r>
        <w:rPr>
          <w:rFonts w:eastAsia="Times New Roman"/>
          <w:lang w:val="en-US" w:eastAsia="en-AU"/>
        </w:rPr>
        <w:t xml:space="preserve"> has added</w:t>
      </w:r>
      <w:r w:rsidRPr="3DFFC190">
        <w:rPr>
          <w:rFonts w:eastAsia="Times New Roman"/>
          <w:lang w:val="en-US" w:eastAsia="en-AU"/>
        </w:rPr>
        <w:t xml:space="preserve"> </w:t>
      </w:r>
      <w:r>
        <w:rPr>
          <w:rFonts w:eastAsia="Times New Roman"/>
          <w:lang w:val="en-US" w:eastAsia="en-AU"/>
        </w:rPr>
        <w:t xml:space="preserve">to </w:t>
      </w:r>
      <w:r w:rsidRPr="3DFFC190">
        <w:rPr>
          <w:rFonts w:eastAsia="Times New Roman"/>
          <w:lang w:val="en-US" w:eastAsia="en-AU"/>
        </w:rPr>
        <w:t xml:space="preserve">uncertainty for providers, </w:t>
      </w:r>
      <w:r>
        <w:rPr>
          <w:rFonts w:eastAsia="Times New Roman"/>
          <w:lang w:val="en-US" w:eastAsia="en-AU"/>
        </w:rPr>
        <w:t xml:space="preserve">and can potentially discourage </w:t>
      </w:r>
      <w:r w:rsidRPr="3DFFC190">
        <w:rPr>
          <w:rFonts w:eastAsia="Times New Roman"/>
          <w:lang w:val="en-US" w:eastAsia="en-AU"/>
        </w:rPr>
        <w:t>investment in the sector.</w:t>
      </w:r>
      <w:r>
        <w:rPr>
          <w:rFonts w:eastAsia="Times New Roman"/>
          <w:lang w:val="en-US" w:eastAsia="en-AU"/>
        </w:rPr>
        <w:t xml:space="preserve"> For example, p</w:t>
      </w:r>
      <w:r w:rsidRPr="3DFFC190">
        <w:rPr>
          <w:rFonts w:eastAsia="Times New Roman"/>
          <w:lang w:val="en-US" w:eastAsia="en-AU"/>
        </w:rPr>
        <w:t>rices for some supports have been frozen</w:t>
      </w:r>
      <w:r>
        <w:rPr>
          <w:rFonts w:eastAsia="Times New Roman"/>
          <w:lang w:val="en-US" w:eastAsia="en-AU"/>
        </w:rPr>
        <w:t xml:space="preserve"> over recent years (such as, for </w:t>
      </w:r>
      <w:r w:rsidRPr="3DFFC190">
        <w:rPr>
          <w:rFonts w:eastAsia="Times New Roman"/>
          <w:lang w:val="en-US" w:eastAsia="en-AU"/>
        </w:rPr>
        <w:t>therapy supports</w:t>
      </w:r>
      <w:r>
        <w:rPr>
          <w:rFonts w:eastAsia="Times New Roman"/>
          <w:lang w:val="en-US" w:eastAsia="en-AU"/>
        </w:rPr>
        <w:t>, which</w:t>
      </w:r>
      <w:r w:rsidRPr="3DFFC190">
        <w:rPr>
          <w:rFonts w:eastAsia="Times New Roman"/>
          <w:lang w:val="en-US" w:eastAsia="en-AU"/>
        </w:rPr>
        <w:t xml:space="preserve"> have been frozen since 2019-20</w:t>
      </w:r>
      <w:r>
        <w:rPr>
          <w:rFonts w:eastAsia="Times New Roman"/>
          <w:lang w:val="en-US" w:eastAsia="en-AU"/>
        </w:rPr>
        <w:t>)</w:t>
      </w:r>
      <w:r w:rsidRPr="3DFFC190">
        <w:rPr>
          <w:rFonts w:eastAsia="Times New Roman"/>
          <w:lang w:val="en-US" w:eastAsia="en-AU"/>
        </w:rPr>
        <w:t xml:space="preserve">. While the </w:t>
      </w:r>
      <w:r>
        <w:rPr>
          <w:rFonts w:eastAsia="Times New Roman"/>
          <w:lang w:val="en-US" w:eastAsia="en-AU"/>
        </w:rPr>
        <w:t xml:space="preserve">NDIA has established a </w:t>
      </w:r>
      <w:r w:rsidRPr="007405E4">
        <w:rPr>
          <w:rFonts w:eastAsia="Times New Roman"/>
          <w:i/>
          <w:lang w:val="en-US" w:eastAsia="en-AU"/>
        </w:rPr>
        <w:t>Pricing</w:t>
      </w:r>
      <w:r>
        <w:rPr>
          <w:rFonts w:eastAsia="Times New Roman"/>
          <w:i/>
          <w:lang w:val="en-US" w:eastAsia="en-AU"/>
        </w:rPr>
        <w:t> </w:t>
      </w:r>
      <w:r w:rsidRPr="007405E4">
        <w:rPr>
          <w:rFonts w:eastAsia="Times New Roman"/>
          <w:i/>
          <w:lang w:val="en-US" w:eastAsia="en-AU"/>
        </w:rPr>
        <w:t>Arrangement Reference Group</w:t>
      </w:r>
      <w:r>
        <w:rPr>
          <w:rFonts w:eastAsia="Times New Roman"/>
          <w:lang w:val="en-US" w:eastAsia="en-AU"/>
        </w:rPr>
        <w:t xml:space="preserve"> to provide</w:t>
      </w:r>
      <w:r w:rsidRPr="00CF2A9B">
        <w:rPr>
          <w:rFonts w:eastAsia="Times New Roman"/>
          <w:lang w:val="en-US" w:eastAsia="en-AU"/>
        </w:rPr>
        <w:t xml:space="preserve"> advice</w:t>
      </w:r>
      <w:r>
        <w:rPr>
          <w:rFonts w:eastAsia="Times New Roman"/>
          <w:lang w:val="en-US" w:eastAsia="en-AU"/>
        </w:rPr>
        <w:t xml:space="preserve"> to the NDIA Board,</w:t>
      </w:r>
      <w:r>
        <w:rPr>
          <w:rStyle w:val="EndnoteReference"/>
          <w:rFonts w:eastAsia="Times New Roman"/>
          <w:lang w:val="en-US" w:eastAsia="en-AU"/>
        </w:rPr>
        <w:endnoteReference w:id="34"/>
      </w:r>
      <w:r w:rsidRPr="3DFFC190">
        <w:rPr>
          <w:rFonts w:eastAsia="Times New Roman"/>
          <w:lang w:val="en-US" w:eastAsia="en-AU"/>
        </w:rPr>
        <w:t xml:space="preserve"> this </w:t>
      </w:r>
      <w:r>
        <w:rPr>
          <w:rFonts w:eastAsia="Times New Roman"/>
          <w:lang w:val="en-US" w:eastAsia="en-AU"/>
        </w:rPr>
        <w:t xml:space="preserve">alone </w:t>
      </w:r>
      <w:r w:rsidRPr="3DFFC190">
        <w:rPr>
          <w:rFonts w:eastAsia="Times New Roman"/>
          <w:lang w:val="en-US" w:eastAsia="en-AU"/>
        </w:rPr>
        <w:t xml:space="preserve">has </w:t>
      </w:r>
      <w:r>
        <w:rPr>
          <w:rFonts w:eastAsia="Times New Roman"/>
          <w:lang w:val="en-US" w:eastAsia="en-AU"/>
        </w:rPr>
        <w:t xml:space="preserve">not </w:t>
      </w:r>
      <w:r w:rsidRPr="3DFFC190">
        <w:rPr>
          <w:rFonts w:eastAsia="Times New Roman"/>
          <w:lang w:val="en-US" w:eastAsia="en-AU"/>
        </w:rPr>
        <w:t>been sufficient to deliver transparency and certainty for providers.</w:t>
      </w:r>
    </w:p>
    <w:p w14:paraId="6C8ED916" w14:textId="77777777" w:rsidR="00025FBA" w:rsidRDefault="00025FBA" w:rsidP="00C53CA3">
      <w:pPr>
        <w:pStyle w:val="Figure"/>
      </w:pPr>
      <w:r w:rsidRPr="00025FBA">
        <w:t>How are prices set in the NDIS?</w:t>
      </w:r>
    </w:p>
    <w:p w14:paraId="3F2B09BE" w14:textId="77777777" w:rsidR="009D296A" w:rsidRPr="00C53CA3" w:rsidRDefault="009D296A" w:rsidP="009D296A">
      <w:pPr>
        <w:pStyle w:val="B2-Heading3"/>
        <w:rPr>
          <w:b/>
          <w:color w:val="092B57" w:themeColor="text1"/>
        </w:rPr>
      </w:pPr>
      <w:r w:rsidRPr="00C53CA3">
        <w:rPr>
          <w:b/>
          <w:color w:val="092B57" w:themeColor="text1"/>
        </w:rPr>
        <w:t>Who sets price caps?</w:t>
      </w:r>
    </w:p>
    <w:p w14:paraId="71219576" w14:textId="77777777" w:rsidR="009D296A" w:rsidRPr="00C53CA3" w:rsidRDefault="009D296A" w:rsidP="002D26D4">
      <w:pPr>
        <w:pStyle w:val="B2-Listbullets"/>
        <w:rPr>
          <w:color w:val="092B57" w:themeColor="text1"/>
        </w:rPr>
      </w:pPr>
      <w:r w:rsidRPr="00C53CA3">
        <w:rPr>
          <w:color w:val="092B57" w:themeColor="text1"/>
        </w:rPr>
        <w:t>The NDIA’s Board has authority for setting price caps. The Pricing Arrangement Reference Group, including five independent members, provides advice to the NDIA board on price regulation arrangements for the NDIS.</w:t>
      </w:r>
    </w:p>
    <w:p w14:paraId="306FCF19" w14:textId="77777777" w:rsidR="009D296A" w:rsidRPr="00C53CA3" w:rsidRDefault="009D296A" w:rsidP="002D26D4">
      <w:pPr>
        <w:pStyle w:val="B2-Listbullets"/>
        <w:rPr>
          <w:color w:val="092B57" w:themeColor="text1"/>
        </w:rPr>
      </w:pPr>
      <w:r w:rsidRPr="00C53CA3">
        <w:rPr>
          <w:color w:val="092B57" w:themeColor="text1"/>
        </w:rPr>
        <w:t xml:space="preserve">Price limits are published in the NDIS Pricing Arrangements and Price Limits document. The NDIA conducts an Annual Pricing Review (APR) to set the prices for different supports. </w:t>
      </w:r>
    </w:p>
    <w:p w14:paraId="4C68B60B" w14:textId="77777777" w:rsidR="009D296A" w:rsidRPr="00C53CA3" w:rsidRDefault="009D296A" w:rsidP="002D26D4">
      <w:pPr>
        <w:pStyle w:val="B2-Listbullets"/>
        <w:rPr>
          <w:color w:val="092B57" w:themeColor="text1"/>
        </w:rPr>
      </w:pPr>
      <w:r w:rsidRPr="00C53CA3">
        <w:rPr>
          <w:color w:val="092B57" w:themeColor="text1"/>
        </w:rPr>
        <w:t>Price caps are identified for a specific unit of supports – such as per hour of Assistance with Personal Domestic Activities, Assistance with Self Care Activities, or Household Tasks.</w:t>
      </w:r>
    </w:p>
    <w:p w14:paraId="681C942B" w14:textId="77777777" w:rsidR="009D296A" w:rsidRPr="00C53CA3" w:rsidRDefault="009D296A" w:rsidP="009D296A">
      <w:pPr>
        <w:pStyle w:val="B3-Heading3"/>
        <w:rPr>
          <w:b/>
          <w:color w:val="092B57" w:themeColor="text1"/>
        </w:rPr>
      </w:pPr>
      <w:r w:rsidRPr="00C53CA3">
        <w:rPr>
          <w:b/>
          <w:color w:val="092B57" w:themeColor="text1"/>
        </w:rPr>
        <w:t>How are price caps structured?</w:t>
      </w:r>
    </w:p>
    <w:p w14:paraId="2B6D1D19" w14:textId="77777777" w:rsidR="009D296A" w:rsidRPr="00C53CA3" w:rsidRDefault="009D296A" w:rsidP="002D26D4">
      <w:pPr>
        <w:pStyle w:val="B3-Listbullets"/>
        <w:rPr>
          <w:color w:val="092B57" w:themeColor="text1"/>
        </w:rPr>
      </w:pPr>
      <w:r w:rsidRPr="00C53CA3">
        <w:rPr>
          <w:color w:val="092B57" w:themeColor="text1"/>
        </w:rPr>
        <w:t xml:space="preserve">Prices caps differ based on the day of the week (weekday or weekend), time of day (during the day or overnight) and public holidays. </w:t>
      </w:r>
    </w:p>
    <w:p w14:paraId="14021C01" w14:textId="77777777" w:rsidR="009D296A" w:rsidRPr="00C53CA3" w:rsidRDefault="009D296A" w:rsidP="002D26D4">
      <w:pPr>
        <w:pStyle w:val="B3-Listbullets"/>
        <w:rPr>
          <w:color w:val="092B57" w:themeColor="text1"/>
        </w:rPr>
      </w:pPr>
      <w:r w:rsidRPr="00C53CA3">
        <w:rPr>
          <w:color w:val="092B57" w:themeColor="text1"/>
        </w:rPr>
        <w:t xml:space="preserve">Some also differ based on whether the provider is eligible for a 3% Temporary Transformation Payment (TTP). </w:t>
      </w:r>
    </w:p>
    <w:p w14:paraId="2FF916A0" w14:textId="77777777" w:rsidR="009D296A" w:rsidRPr="00C53CA3" w:rsidRDefault="009D296A" w:rsidP="002D26D4">
      <w:pPr>
        <w:pStyle w:val="B3-Listbullets"/>
        <w:rPr>
          <w:rFonts w:eastAsia="Times New Roman"/>
          <w:color w:val="092B57" w:themeColor="text1"/>
        </w:rPr>
      </w:pPr>
      <w:r w:rsidRPr="00C53CA3">
        <w:rPr>
          <w:color w:val="092B57" w:themeColor="text1"/>
        </w:rPr>
        <w:lastRenderedPageBreak/>
        <w:t xml:space="preserve">Additional price loadings apply for: </w:t>
      </w:r>
    </w:p>
    <w:p w14:paraId="01E5BDD0" w14:textId="77777777" w:rsidR="009D296A" w:rsidRPr="00C53CA3" w:rsidRDefault="009D296A" w:rsidP="002D26D4">
      <w:pPr>
        <w:pStyle w:val="B3-Listbullets"/>
        <w:numPr>
          <w:ilvl w:val="0"/>
          <w:numId w:val="38"/>
        </w:numPr>
        <w:rPr>
          <w:rFonts w:eastAsia="Times New Roman"/>
          <w:color w:val="092B57" w:themeColor="text1"/>
        </w:rPr>
      </w:pPr>
      <w:r w:rsidRPr="00C53CA3">
        <w:rPr>
          <w:color w:val="092B57" w:themeColor="text1"/>
        </w:rPr>
        <w:t>Approximately 8% loading for high intensity supports for participants with complex needs</w:t>
      </w:r>
    </w:p>
    <w:p w14:paraId="65AF8530" w14:textId="77777777" w:rsidR="009D296A" w:rsidRPr="00C53CA3" w:rsidRDefault="009D296A" w:rsidP="002D26D4">
      <w:pPr>
        <w:pStyle w:val="B3-Listbullets"/>
        <w:numPr>
          <w:ilvl w:val="0"/>
          <w:numId w:val="38"/>
        </w:numPr>
        <w:rPr>
          <w:rFonts w:eastAsia="Times New Roman"/>
          <w:color w:val="092B57" w:themeColor="text1"/>
        </w:rPr>
      </w:pPr>
      <w:r w:rsidRPr="00C53CA3">
        <w:rPr>
          <w:color w:val="092B57" w:themeColor="text1"/>
        </w:rPr>
        <w:t>40% loading for supports delivered remote areas</w:t>
      </w:r>
    </w:p>
    <w:p w14:paraId="19957E39" w14:textId="77777777" w:rsidR="00025FBA" w:rsidRPr="00C53CA3" w:rsidRDefault="009D296A" w:rsidP="002D26D4">
      <w:pPr>
        <w:pStyle w:val="B3-Listbullets"/>
        <w:numPr>
          <w:ilvl w:val="0"/>
          <w:numId w:val="38"/>
        </w:numPr>
        <w:rPr>
          <w:rFonts w:eastAsia="Times New Roman"/>
          <w:color w:val="092B57" w:themeColor="text1"/>
        </w:rPr>
      </w:pPr>
      <w:r w:rsidRPr="00C53CA3">
        <w:rPr>
          <w:color w:val="092B57" w:themeColor="text1"/>
        </w:rPr>
        <w:t xml:space="preserve">50% loading in very remote locations. </w:t>
      </w:r>
    </w:p>
    <w:p w14:paraId="17181DE3" w14:textId="77777777" w:rsidR="00025FBA" w:rsidRDefault="00025FBA" w:rsidP="00025FBA">
      <w:pPr>
        <w:rPr>
          <w:rFonts w:eastAsia="Times New Roman" w:cstheme="minorHAnsi"/>
          <w:lang w:eastAsia="en-AU"/>
        </w:rPr>
      </w:pPr>
      <w:r>
        <w:rPr>
          <w:rFonts w:eastAsia="Times New Roman" w:cstheme="minorHAnsi"/>
          <w:lang w:eastAsia="en-AU"/>
        </w:rPr>
        <w:t>The</w:t>
      </w:r>
      <w:r w:rsidRPr="00E239E6">
        <w:rPr>
          <w:rFonts w:eastAsia="Times New Roman" w:cstheme="minorHAnsi"/>
          <w:lang w:eastAsia="en-AU"/>
        </w:rPr>
        <w:t xml:space="preserve"> </w:t>
      </w:r>
      <w:r>
        <w:rPr>
          <w:rFonts w:eastAsia="Times New Roman" w:cstheme="minorHAnsi"/>
          <w:lang w:eastAsia="en-AU"/>
        </w:rPr>
        <w:t xml:space="preserve">approach used in the NDIS </w:t>
      </w:r>
      <w:r w:rsidRPr="00E239E6">
        <w:rPr>
          <w:rFonts w:eastAsia="Times New Roman" w:cstheme="minorHAnsi"/>
          <w:lang w:eastAsia="en-AU"/>
        </w:rPr>
        <w:t xml:space="preserve">contrasts with price setting arrangements </w:t>
      </w:r>
      <w:r>
        <w:rPr>
          <w:rFonts w:eastAsia="Times New Roman" w:cstheme="minorHAnsi"/>
          <w:lang w:eastAsia="en-AU"/>
        </w:rPr>
        <w:t xml:space="preserve">in aged care, </w:t>
      </w:r>
      <w:r w:rsidRPr="00E239E6">
        <w:rPr>
          <w:rFonts w:eastAsia="Times New Roman" w:cstheme="minorHAnsi"/>
          <w:lang w:eastAsia="en-AU"/>
        </w:rPr>
        <w:t>which is moving toward independent price monitoring. From July 2023</w:t>
      </w:r>
      <w:r>
        <w:rPr>
          <w:rFonts w:eastAsia="Times New Roman" w:cstheme="minorHAnsi"/>
          <w:lang w:eastAsia="en-AU"/>
        </w:rPr>
        <w:t>,</w:t>
      </w:r>
      <w:r w:rsidRPr="00E239E6">
        <w:rPr>
          <w:rFonts w:eastAsia="Times New Roman" w:cstheme="minorHAnsi"/>
          <w:lang w:eastAsia="en-AU"/>
        </w:rPr>
        <w:t xml:space="preserve"> the Independent Hospital and Aged Care Pricing Authority (IHACPA) will provide independent advice to government on pricing for residential aged care, residential respite care and in-home care. The Minister for Health and Aged Care will retain authority for price setting.</w:t>
      </w:r>
    </w:p>
    <w:p w14:paraId="133F4464" w14:textId="77777777" w:rsidR="00025FBA" w:rsidRDefault="00025FBA" w:rsidP="00025FBA">
      <w:pPr>
        <w:rPr>
          <w:rFonts w:eastAsia="Times New Roman" w:cstheme="minorHAnsi"/>
          <w:lang w:eastAsia="en-AU"/>
        </w:rPr>
      </w:pPr>
      <w:r w:rsidRPr="00E239E6">
        <w:rPr>
          <w:rFonts w:eastAsia="Times New Roman" w:cstheme="minorHAnsi"/>
          <w:lang w:eastAsia="en-AU"/>
        </w:rPr>
        <w:t xml:space="preserve">In 2017, the Productivity Commission noted its concern that while </w:t>
      </w:r>
      <w:r w:rsidR="00036C37">
        <w:rPr>
          <w:rFonts w:eastAsia="Times New Roman" w:cstheme="minorHAnsi"/>
          <w:lang w:eastAsia="en-AU"/>
        </w:rPr>
        <w:t>‘</w:t>
      </w:r>
      <w:r w:rsidRPr="00E239E6" w:rsidDel="00CD4183">
        <w:rPr>
          <w:rFonts w:eastAsia="Times New Roman" w:cstheme="minorHAnsi"/>
          <w:lang w:eastAsia="en-AU"/>
        </w:rPr>
        <w:t xml:space="preserve">… </w:t>
      </w:r>
      <w:r w:rsidRPr="00E239E6">
        <w:rPr>
          <w:rFonts w:eastAsia="Times New Roman" w:cstheme="minorHAnsi"/>
          <w:lang w:eastAsia="en-AU"/>
        </w:rPr>
        <w:t>the price-setting mechanism is held within the NDIA, there is an incentive for it to be used to offset budget pressures</w:t>
      </w:r>
      <w:r w:rsidR="00036C37">
        <w:rPr>
          <w:rFonts w:eastAsia="Times New Roman" w:cstheme="minorHAnsi"/>
          <w:lang w:eastAsia="en-AU"/>
        </w:rPr>
        <w:t>’</w:t>
      </w:r>
      <w:r w:rsidRPr="00E239E6">
        <w:rPr>
          <w:rFonts w:eastAsia="Times New Roman" w:cstheme="minorHAnsi"/>
          <w:lang w:eastAsia="en-AU"/>
        </w:rPr>
        <w:t>.</w:t>
      </w:r>
      <w:r>
        <w:rPr>
          <w:rStyle w:val="EndnoteReference"/>
          <w:rFonts w:eastAsia="Times New Roman" w:cstheme="minorHAnsi"/>
          <w:lang w:eastAsia="en-AU"/>
        </w:rPr>
        <w:endnoteReference w:id="35"/>
      </w:r>
      <w:r w:rsidRPr="00E239E6">
        <w:rPr>
          <w:rFonts w:eastAsia="Times New Roman" w:cstheme="minorHAnsi"/>
          <w:lang w:eastAsia="en-AU"/>
        </w:rPr>
        <w:t xml:space="preserve"> The Productivity Commission emphasised the need for prices to be set with market development as the primar</w:t>
      </w:r>
      <w:r w:rsidRPr="007B5A59">
        <w:rPr>
          <w:rFonts w:eastAsia="Times New Roman" w:cstheme="minorHAnsi"/>
          <w:lang w:eastAsia="en-AU"/>
        </w:rPr>
        <w:t xml:space="preserve">y focus. </w:t>
      </w:r>
    </w:p>
    <w:p w14:paraId="7D2F6945" w14:textId="77777777" w:rsidR="00025FBA" w:rsidRPr="003727D7" w:rsidRDefault="00025FBA" w:rsidP="00025FBA">
      <w:pPr>
        <w:rPr>
          <w:rFonts w:eastAsia="Times New Roman" w:cstheme="minorHAnsi"/>
          <w:lang w:eastAsia="en-AU"/>
        </w:rPr>
      </w:pPr>
      <w:r>
        <w:rPr>
          <w:rFonts w:eastAsia="Times New Roman" w:cstheme="minorHAnsi"/>
          <w:lang w:eastAsia="en-AU"/>
        </w:rPr>
        <w:t>In practice, s</w:t>
      </w:r>
      <w:r w:rsidRPr="00651B85">
        <w:rPr>
          <w:rFonts w:eastAsia="Times New Roman" w:cstheme="minorHAnsi"/>
          <w:lang w:eastAsia="en-AU"/>
        </w:rPr>
        <w:t xml:space="preserve">etting </w:t>
      </w:r>
      <w:r>
        <w:rPr>
          <w:rFonts w:eastAsia="Times New Roman" w:cstheme="minorHAnsi"/>
          <w:lang w:eastAsia="en-AU"/>
        </w:rPr>
        <w:t xml:space="preserve">prices for </w:t>
      </w:r>
      <w:r>
        <w:t>NDIS</w:t>
      </w:r>
      <w:r w:rsidRPr="00651B85">
        <w:rPr>
          <w:rFonts w:eastAsia="Times New Roman" w:cstheme="minorHAnsi"/>
          <w:lang w:eastAsia="en-AU"/>
        </w:rPr>
        <w:t xml:space="preserve"> </w:t>
      </w:r>
      <w:r>
        <w:rPr>
          <w:rFonts w:eastAsia="Times New Roman" w:cstheme="minorHAnsi"/>
          <w:lang w:eastAsia="en-AU"/>
        </w:rPr>
        <w:t>supports</w:t>
      </w:r>
      <w:r w:rsidRPr="00D91073">
        <w:t xml:space="preserve"> </w:t>
      </w:r>
      <w:r w:rsidRPr="00651B85">
        <w:rPr>
          <w:rFonts w:eastAsia="Times New Roman" w:cstheme="minorHAnsi"/>
          <w:lang w:eastAsia="en-AU"/>
        </w:rPr>
        <w:t>is complex</w:t>
      </w:r>
      <w:r>
        <w:rPr>
          <w:rFonts w:eastAsia="Times New Roman" w:cstheme="minorHAnsi"/>
          <w:lang w:eastAsia="en-AU"/>
        </w:rPr>
        <w:t xml:space="preserve">. Price caps </w:t>
      </w:r>
      <w:r w:rsidRPr="00651B85">
        <w:rPr>
          <w:rFonts w:eastAsia="Times New Roman" w:cstheme="minorHAnsi"/>
          <w:lang w:eastAsia="en-AU"/>
        </w:rPr>
        <w:t xml:space="preserve">need to balance many objectives including promoting cost efficiency, </w:t>
      </w:r>
      <w:r>
        <w:rPr>
          <w:rFonts w:eastAsia="Times New Roman" w:cstheme="minorHAnsi"/>
          <w:lang w:eastAsia="en-AU"/>
        </w:rPr>
        <w:t xml:space="preserve">stimulating </w:t>
      </w:r>
      <w:r w:rsidRPr="00651B85">
        <w:rPr>
          <w:rFonts w:eastAsia="Times New Roman" w:cstheme="minorHAnsi"/>
          <w:lang w:eastAsia="en-AU"/>
        </w:rPr>
        <w:t xml:space="preserve">innovation, </w:t>
      </w:r>
      <w:r>
        <w:rPr>
          <w:rFonts w:eastAsia="Times New Roman" w:cstheme="minorHAnsi"/>
          <w:lang w:eastAsia="en-AU"/>
        </w:rPr>
        <w:t xml:space="preserve">encouraging the supply of </w:t>
      </w:r>
      <w:r w:rsidRPr="00651B85">
        <w:rPr>
          <w:rFonts w:eastAsia="Times New Roman" w:cstheme="minorHAnsi"/>
          <w:lang w:eastAsia="en-AU"/>
        </w:rPr>
        <w:t>quality</w:t>
      </w:r>
      <w:r>
        <w:rPr>
          <w:rFonts w:eastAsia="Times New Roman" w:cstheme="minorHAnsi"/>
          <w:lang w:eastAsia="en-AU"/>
        </w:rPr>
        <w:t xml:space="preserve"> supports</w:t>
      </w:r>
      <w:r w:rsidRPr="00651B85">
        <w:rPr>
          <w:rFonts w:eastAsia="Times New Roman" w:cstheme="minorHAnsi"/>
          <w:lang w:eastAsia="en-AU"/>
        </w:rPr>
        <w:t xml:space="preserve">, </w:t>
      </w:r>
      <w:r>
        <w:rPr>
          <w:rFonts w:eastAsia="Times New Roman" w:cstheme="minorHAnsi"/>
          <w:lang w:eastAsia="en-AU"/>
        </w:rPr>
        <w:t xml:space="preserve">maintaining and building </w:t>
      </w:r>
      <w:r w:rsidRPr="00651B85">
        <w:rPr>
          <w:rFonts w:eastAsia="Times New Roman" w:cstheme="minorHAnsi"/>
          <w:lang w:eastAsia="en-AU"/>
        </w:rPr>
        <w:t>safeguards</w:t>
      </w:r>
      <w:r>
        <w:rPr>
          <w:rFonts w:eastAsia="Times New Roman" w:cstheme="minorHAnsi"/>
          <w:lang w:eastAsia="en-AU"/>
        </w:rPr>
        <w:t>,</w:t>
      </w:r>
      <w:r w:rsidRPr="00651B85">
        <w:rPr>
          <w:rFonts w:eastAsia="Times New Roman" w:cstheme="minorHAnsi"/>
          <w:lang w:eastAsia="en-AU"/>
        </w:rPr>
        <w:t xml:space="preserve"> and</w:t>
      </w:r>
      <w:r>
        <w:rPr>
          <w:rFonts w:eastAsia="Times New Roman" w:cstheme="minorHAnsi"/>
          <w:lang w:eastAsia="en-AU"/>
        </w:rPr>
        <w:t xml:space="preserve"> ensuring</w:t>
      </w:r>
      <w:r w:rsidRPr="00651B85">
        <w:rPr>
          <w:rFonts w:eastAsia="Times New Roman" w:cstheme="minorHAnsi"/>
          <w:lang w:eastAsia="en-AU"/>
        </w:rPr>
        <w:t xml:space="preserve"> </w:t>
      </w:r>
      <w:r>
        <w:rPr>
          <w:rFonts w:eastAsia="Times New Roman" w:cstheme="minorHAnsi"/>
          <w:lang w:eastAsia="en-AU"/>
        </w:rPr>
        <w:t xml:space="preserve">scheme </w:t>
      </w:r>
      <w:r w:rsidRPr="00651B85">
        <w:rPr>
          <w:rFonts w:eastAsia="Times New Roman" w:cstheme="minorHAnsi"/>
          <w:lang w:eastAsia="en-AU"/>
        </w:rPr>
        <w:t>sustainability.</w:t>
      </w:r>
    </w:p>
    <w:p w14:paraId="1EE67E12" w14:textId="77777777" w:rsidR="00025FBA" w:rsidRPr="00E239E6" w:rsidRDefault="00025FBA" w:rsidP="00F13EF0">
      <w:pPr>
        <w:pStyle w:val="Heading3"/>
        <w:rPr>
          <w:rFonts w:eastAsia="Times New Roman"/>
          <w:lang w:eastAsia="en-AU"/>
        </w:rPr>
      </w:pPr>
      <w:r w:rsidRPr="00E239E6">
        <w:rPr>
          <w:rFonts w:eastAsia="Times New Roman"/>
          <w:lang w:eastAsia="en-AU"/>
        </w:rPr>
        <w:t xml:space="preserve">Most price caps are </w:t>
      </w:r>
      <w:r>
        <w:rPr>
          <w:rFonts w:eastAsia="Times New Roman"/>
          <w:lang w:eastAsia="en-AU"/>
        </w:rPr>
        <w:t>set based on an estimate of the</w:t>
      </w:r>
      <w:r>
        <w:rPr>
          <w:rFonts w:eastAsia="Times New Roman"/>
          <w:lang w:eastAsia="en-AU"/>
        </w:rPr>
        <w:br/>
      </w:r>
      <w:r w:rsidRPr="00E239E6">
        <w:rPr>
          <w:rFonts w:eastAsia="Times New Roman"/>
          <w:lang w:eastAsia="en-AU"/>
        </w:rPr>
        <w:t>‘cost of service provision</w:t>
      </w:r>
      <w:r>
        <w:rPr>
          <w:rFonts w:eastAsia="Times New Roman"/>
          <w:lang w:eastAsia="en-AU"/>
        </w:rPr>
        <w:t>’</w:t>
      </w:r>
      <w:r w:rsidRPr="00E239E6">
        <w:rPr>
          <w:rFonts w:eastAsia="Times New Roman"/>
          <w:lang w:eastAsia="en-AU"/>
        </w:rPr>
        <w:t xml:space="preserve"> for the lowest-cost providers</w:t>
      </w:r>
    </w:p>
    <w:p w14:paraId="0B7F31B6" w14:textId="77777777" w:rsidR="00025FBA" w:rsidRPr="00E239E6" w:rsidRDefault="00025FBA" w:rsidP="00025FBA">
      <w:pPr>
        <w:rPr>
          <w:rFonts w:cstheme="minorHAnsi"/>
          <w:sz w:val="18"/>
        </w:rPr>
      </w:pPr>
      <w:r w:rsidRPr="00E239E6">
        <w:rPr>
          <w:rFonts w:cstheme="minorHAnsi"/>
          <w:lang w:val="en-US"/>
        </w:rPr>
        <w:t>Each year</w:t>
      </w:r>
      <w:r>
        <w:rPr>
          <w:rFonts w:cstheme="minorHAnsi"/>
          <w:lang w:val="en-US"/>
        </w:rPr>
        <w:t>,</w:t>
      </w:r>
      <w:r w:rsidRPr="00E239E6">
        <w:rPr>
          <w:rFonts w:cstheme="minorHAnsi"/>
          <w:lang w:val="en-US"/>
        </w:rPr>
        <w:t xml:space="preserve"> the </w:t>
      </w:r>
      <w:r>
        <w:rPr>
          <w:rFonts w:cstheme="minorHAnsi"/>
          <w:bCs/>
          <w:lang w:val="en-US"/>
        </w:rPr>
        <w:t>NDIA</w:t>
      </w:r>
      <w:r w:rsidRPr="00E239E6">
        <w:rPr>
          <w:rFonts w:cstheme="minorHAnsi"/>
          <w:lang w:val="en-US"/>
        </w:rPr>
        <w:t xml:space="preserve"> undertakes </w:t>
      </w:r>
      <w:r>
        <w:rPr>
          <w:rFonts w:cstheme="minorHAnsi"/>
          <w:lang w:val="en-US"/>
        </w:rPr>
        <w:t xml:space="preserve">an </w:t>
      </w:r>
      <w:r w:rsidRPr="00E239E6">
        <w:rPr>
          <w:rFonts w:cstheme="minorHAnsi"/>
          <w:lang w:val="en-US"/>
        </w:rPr>
        <w:t xml:space="preserve">annual Financial Benchmarking Survey, </w:t>
      </w:r>
      <w:r>
        <w:rPr>
          <w:rFonts w:cstheme="minorHAnsi"/>
          <w:bCs/>
          <w:lang w:val="en-US"/>
        </w:rPr>
        <w:t xml:space="preserve">where it </w:t>
      </w:r>
      <w:r w:rsidRPr="00E239E6">
        <w:rPr>
          <w:rFonts w:cstheme="minorHAnsi"/>
          <w:lang w:val="en-US"/>
        </w:rPr>
        <w:t>collect</w:t>
      </w:r>
      <w:r>
        <w:rPr>
          <w:rFonts w:cstheme="minorHAnsi"/>
          <w:lang w:val="en-US"/>
        </w:rPr>
        <w:t>s</w:t>
      </w:r>
      <w:r w:rsidRPr="00E239E6">
        <w:rPr>
          <w:rFonts w:cstheme="minorHAnsi"/>
          <w:lang w:val="en-US"/>
        </w:rPr>
        <w:t xml:space="preserve"> information on providers’ operating costs.</w:t>
      </w:r>
      <w:r w:rsidRPr="00E239E6">
        <w:rPr>
          <w:rFonts w:cstheme="minorHAnsi"/>
          <w:sz w:val="18"/>
        </w:rPr>
        <w:t xml:space="preserve"> </w:t>
      </w:r>
    </w:p>
    <w:p w14:paraId="29A2DD4C" w14:textId="77777777" w:rsidR="00025FBA" w:rsidRDefault="00025FBA" w:rsidP="00025FBA">
      <w:pPr>
        <w:rPr>
          <w:rFonts w:cstheme="minorHAnsi"/>
          <w:lang w:val="en-US"/>
        </w:rPr>
      </w:pPr>
      <w:r w:rsidRPr="00E239E6">
        <w:rPr>
          <w:rFonts w:cstheme="minorHAnsi"/>
          <w:lang w:val="en-US"/>
        </w:rPr>
        <w:lastRenderedPageBreak/>
        <w:t>The survey provides only</w:t>
      </w:r>
      <w:r>
        <w:rPr>
          <w:rFonts w:cstheme="minorHAnsi"/>
          <w:lang w:val="en-US"/>
        </w:rPr>
        <w:t xml:space="preserve"> a</w:t>
      </w:r>
      <w:r w:rsidRPr="00E239E6">
        <w:rPr>
          <w:rFonts w:cstheme="minorHAnsi"/>
          <w:lang w:val="en-US"/>
        </w:rPr>
        <w:t xml:space="preserve"> limited </w:t>
      </w:r>
      <w:r>
        <w:rPr>
          <w:rFonts w:cstheme="minorHAnsi"/>
          <w:lang w:val="en-US"/>
        </w:rPr>
        <w:t xml:space="preserve">and potentially biased </w:t>
      </w:r>
      <w:r w:rsidRPr="00E239E6">
        <w:rPr>
          <w:rFonts w:cstheme="minorHAnsi"/>
          <w:lang w:val="en-US"/>
        </w:rPr>
        <w:t xml:space="preserve">understanding of prices and costs. </w:t>
      </w:r>
      <w:r>
        <w:rPr>
          <w:rFonts w:cstheme="minorHAnsi"/>
          <w:lang w:val="en-US"/>
        </w:rPr>
        <w:t>T</w:t>
      </w:r>
      <w:r w:rsidRPr="00E239E6">
        <w:rPr>
          <w:rFonts w:cstheme="minorHAnsi"/>
          <w:lang w:val="en-US"/>
        </w:rPr>
        <w:t>he 2021-22</w:t>
      </w:r>
      <w:r>
        <w:rPr>
          <w:rFonts w:cstheme="minorHAnsi"/>
          <w:lang w:val="en-US"/>
        </w:rPr>
        <w:t xml:space="preserve"> NDIS </w:t>
      </w:r>
      <w:r w:rsidRPr="00E239E6">
        <w:rPr>
          <w:rFonts w:cstheme="minorHAnsi"/>
          <w:lang w:val="en-US"/>
        </w:rPr>
        <w:t>Financial Be</w:t>
      </w:r>
      <w:r>
        <w:rPr>
          <w:rFonts w:cstheme="minorHAnsi"/>
          <w:lang w:val="en-US"/>
        </w:rPr>
        <w:t>nchmarking Survey</w:t>
      </w:r>
      <w:r w:rsidRPr="00E239E6">
        <w:rPr>
          <w:rFonts w:cstheme="minorHAnsi"/>
          <w:lang w:val="en-US"/>
        </w:rPr>
        <w:t xml:space="preserve"> </w:t>
      </w:r>
      <w:r>
        <w:rPr>
          <w:rFonts w:cstheme="minorHAnsi"/>
          <w:lang w:val="en-US"/>
        </w:rPr>
        <w:t>had</w:t>
      </w:r>
      <w:r w:rsidRPr="00E239E6">
        <w:rPr>
          <w:rFonts w:cstheme="minorHAnsi"/>
          <w:lang w:val="en-US"/>
        </w:rPr>
        <w:t xml:space="preserve"> a response rate of around 15</w:t>
      </w:r>
      <w:r>
        <w:rPr>
          <w:rFonts w:cstheme="minorHAnsi"/>
          <w:lang w:val="en-US"/>
        </w:rPr>
        <w:t>%</w:t>
      </w:r>
      <w:r w:rsidRPr="00E239E6">
        <w:rPr>
          <w:rFonts w:cstheme="minorHAnsi"/>
          <w:lang w:val="en-US"/>
        </w:rPr>
        <w:t>.</w:t>
      </w:r>
      <w:r>
        <w:rPr>
          <w:rStyle w:val="EndnoteReference"/>
          <w:rFonts w:cstheme="minorHAnsi"/>
          <w:lang w:val="en-US"/>
        </w:rPr>
        <w:endnoteReference w:id="36"/>
      </w:r>
      <w:r w:rsidRPr="00E239E6">
        <w:rPr>
          <w:rFonts w:cstheme="minorHAnsi"/>
          <w:lang w:val="en-US"/>
        </w:rPr>
        <w:t xml:space="preserve"> Previous survey</w:t>
      </w:r>
      <w:r>
        <w:rPr>
          <w:rFonts w:cstheme="minorHAnsi"/>
          <w:lang w:val="en-US"/>
        </w:rPr>
        <w:t>s</w:t>
      </w:r>
      <w:r w:rsidRPr="00E239E6">
        <w:rPr>
          <w:rFonts w:cstheme="minorHAnsi"/>
          <w:lang w:val="en-US"/>
        </w:rPr>
        <w:t xml:space="preserve"> </w:t>
      </w:r>
      <w:r>
        <w:rPr>
          <w:rFonts w:cstheme="minorHAnsi"/>
          <w:lang w:val="en-US"/>
        </w:rPr>
        <w:t>were</w:t>
      </w:r>
      <w:r w:rsidRPr="00E239E6">
        <w:rPr>
          <w:rFonts w:cstheme="minorHAnsi"/>
          <w:lang w:val="en-US"/>
        </w:rPr>
        <w:t xml:space="preserve"> limited to providers who claimed the Temporary </w:t>
      </w:r>
      <w:r w:rsidRPr="00E239E6" w:rsidDel="00EB7338">
        <w:rPr>
          <w:rFonts w:cstheme="minorHAnsi"/>
          <w:lang w:val="en-US"/>
        </w:rPr>
        <w:t>T</w:t>
      </w:r>
      <w:r w:rsidRPr="00E239E6">
        <w:rPr>
          <w:rFonts w:cstheme="minorHAnsi"/>
          <w:lang w:val="en-US"/>
        </w:rPr>
        <w:t xml:space="preserve">ransformation </w:t>
      </w:r>
      <w:r w:rsidRPr="00E239E6" w:rsidDel="00EB7338">
        <w:rPr>
          <w:rFonts w:cstheme="minorHAnsi"/>
          <w:lang w:val="en-US"/>
        </w:rPr>
        <w:t xml:space="preserve">Payment </w:t>
      </w:r>
      <w:r w:rsidRPr="00E239E6">
        <w:rPr>
          <w:rFonts w:cstheme="minorHAnsi"/>
          <w:lang w:val="en-US"/>
        </w:rPr>
        <w:t xml:space="preserve">(TTP) </w:t>
      </w:r>
      <w:r>
        <w:rPr>
          <w:rFonts w:cstheme="minorHAnsi"/>
          <w:lang w:val="en-US"/>
        </w:rPr>
        <w:t xml:space="preserve">since </w:t>
      </w:r>
      <w:r w:rsidRPr="00E239E6">
        <w:rPr>
          <w:rFonts w:cstheme="minorHAnsi"/>
          <w:lang w:val="en-US"/>
        </w:rPr>
        <w:t xml:space="preserve">responding to the survey was a requirement </w:t>
      </w:r>
      <w:r>
        <w:rPr>
          <w:rFonts w:cstheme="minorHAnsi"/>
          <w:lang w:val="en-US"/>
        </w:rPr>
        <w:t xml:space="preserve">to </w:t>
      </w:r>
      <w:r w:rsidRPr="00E239E6">
        <w:rPr>
          <w:rFonts w:cstheme="minorHAnsi"/>
          <w:lang w:val="en-US"/>
        </w:rPr>
        <w:t>receiv</w:t>
      </w:r>
      <w:r>
        <w:rPr>
          <w:rFonts w:cstheme="minorHAnsi"/>
          <w:lang w:val="en-US"/>
        </w:rPr>
        <w:t>e</w:t>
      </w:r>
      <w:r w:rsidRPr="00E239E6">
        <w:rPr>
          <w:rFonts w:cstheme="minorHAnsi"/>
          <w:lang w:val="en-US"/>
        </w:rPr>
        <w:t xml:space="preserve"> the payment. From 2019-20, the survey has been opened to all</w:t>
      </w:r>
      <w:r>
        <w:rPr>
          <w:rFonts w:cstheme="minorHAnsi"/>
          <w:lang w:val="en-US"/>
        </w:rPr>
        <w:t xml:space="preserve"> NDIS</w:t>
      </w:r>
      <w:r w:rsidRPr="00E239E6">
        <w:rPr>
          <w:rFonts w:cstheme="minorHAnsi"/>
          <w:lang w:val="en-US"/>
        </w:rPr>
        <w:t xml:space="preserve"> </w:t>
      </w:r>
      <w:r>
        <w:rPr>
          <w:rFonts w:cstheme="minorHAnsi"/>
          <w:lang w:val="en-US"/>
        </w:rPr>
        <w:t xml:space="preserve">relevant </w:t>
      </w:r>
      <w:r w:rsidRPr="00E239E6">
        <w:rPr>
          <w:rFonts w:cstheme="minorHAnsi"/>
          <w:lang w:val="en-US"/>
        </w:rPr>
        <w:t>providers</w:t>
      </w:r>
      <w:r>
        <w:rPr>
          <w:rFonts w:cstheme="minorHAnsi"/>
          <w:lang w:val="en-US"/>
        </w:rPr>
        <w:t xml:space="preserve">. However, </w:t>
      </w:r>
      <w:r w:rsidRPr="00E239E6">
        <w:rPr>
          <w:rFonts w:cstheme="minorHAnsi"/>
          <w:lang w:val="en-US"/>
        </w:rPr>
        <w:t>responses continue to be dominated by TTP recipients</w:t>
      </w:r>
      <w:r>
        <w:rPr>
          <w:rFonts w:cstheme="minorHAnsi"/>
          <w:lang w:val="en-US"/>
        </w:rPr>
        <w:t xml:space="preserve"> (</w:t>
      </w:r>
      <w:r w:rsidRPr="00E239E6">
        <w:rPr>
          <w:rFonts w:cstheme="minorHAnsi"/>
          <w:lang w:val="en-US"/>
        </w:rPr>
        <w:t>83</w:t>
      </w:r>
      <w:r>
        <w:rPr>
          <w:rFonts w:cstheme="minorHAnsi"/>
          <w:lang w:val="en-US"/>
        </w:rPr>
        <w:t>%</w:t>
      </w:r>
      <w:r w:rsidRPr="00E239E6">
        <w:rPr>
          <w:rFonts w:cstheme="minorHAnsi"/>
          <w:lang w:val="en-US"/>
        </w:rPr>
        <w:t xml:space="preserve"> </w:t>
      </w:r>
      <w:r>
        <w:rPr>
          <w:rFonts w:cstheme="minorHAnsi"/>
          <w:lang w:val="en-US"/>
        </w:rPr>
        <w:t xml:space="preserve">of respondents </w:t>
      </w:r>
      <w:r w:rsidRPr="00E239E6">
        <w:rPr>
          <w:rFonts w:cstheme="minorHAnsi"/>
          <w:lang w:val="en-US"/>
        </w:rPr>
        <w:t>received a TTP</w:t>
      </w:r>
      <w:r>
        <w:rPr>
          <w:rFonts w:cstheme="minorHAnsi"/>
          <w:lang w:val="en-US"/>
        </w:rPr>
        <w:t>).</w:t>
      </w:r>
      <w:r>
        <w:rPr>
          <w:rStyle w:val="EndnoteReference"/>
          <w:rFonts w:cstheme="minorHAnsi"/>
          <w:lang w:val="en-US"/>
        </w:rPr>
        <w:endnoteReference w:id="37"/>
      </w:r>
    </w:p>
    <w:p w14:paraId="68107FB4" w14:textId="77777777" w:rsidR="00025FBA" w:rsidRDefault="00025FBA" w:rsidP="00025FBA">
      <w:pPr>
        <w:rPr>
          <w:rFonts w:eastAsia="Times New Roman" w:cstheme="minorHAnsi"/>
          <w:lang w:val="en-US" w:eastAsia="en-AU"/>
        </w:rPr>
      </w:pPr>
      <w:r>
        <w:rPr>
          <w:rFonts w:cstheme="minorHAnsi"/>
          <w:szCs w:val="24"/>
        </w:rPr>
        <w:t>F</w:t>
      </w:r>
      <w:r w:rsidRPr="00E239E6">
        <w:rPr>
          <w:rFonts w:cstheme="minorHAnsi"/>
          <w:szCs w:val="24"/>
        </w:rPr>
        <w:t xml:space="preserve">or supports </w:t>
      </w:r>
      <w:r>
        <w:rPr>
          <w:rFonts w:cstheme="minorHAnsi"/>
          <w:szCs w:val="24"/>
        </w:rPr>
        <w:t xml:space="preserve">delivered by </w:t>
      </w:r>
      <w:r w:rsidRPr="00E239E6">
        <w:rPr>
          <w:rFonts w:cstheme="minorHAnsi"/>
          <w:szCs w:val="24"/>
        </w:rPr>
        <w:t>disability support workers</w:t>
      </w:r>
      <w:r>
        <w:rPr>
          <w:rFonts w:cstheme="minorHAnsi"/>
          <w:szCs w:val="24"/>
        </w:rPr>
        <w:t>,</w:t>
      </w:r>
      <w:r w:rsidRPr="00E239E6">
        <w:rPr>
          <w:rFonts w:cstheme="minorHAnsi"/>
          <w:szCs w:val="24"/>
        </w:rPr>
        <w:t xml:space="preserve"> </w:t>
      </w:r>
      <w:r>
        <w:rPr>
          <w:rFonts w:cstheme="minorHAnsi"/>
          <w:szCs w:val="24"/>
        </w:rPr>
        <w:t xml:space="preserve">price caps </w:t>
      </w:r>
      <w:r w:rsidRPr="00E239E6">
        <w:rPr>
          <w:rFonts w:cstheme="minorHAnsi"/>
          <w:szCs w:val="24"/>
        </w:rPr>
        <w:t>are</w:t>
      </w:r>
      <w:r>
        <w:rPr>
          <w:rFonts w:cstheme="minorHAnsi"/>
          <w:szCs w:val="24"/>
        </w:rPr>
        <w:t xml:space="preserve"> informed by the survey and </w:t>
      </w:r>
      <w:r w:rsidRPr="00E239E6">
        <w:rPr>
          <w:rFonts w:cstheme="minorHAnsi"/>
          <w:szCs w:val="24"/>
        </w:rPr>
        <w:t xml:space="preserve">the estimated cost for the </w:t>
      </w:r>
      <w:r w:rsidRPr="00E239E6">
        <w:rPr>
          <w:rFonts w:eastAsia="Times New Roman" w:cstheme="minorHAnsi"/>
          <w:lang w:val="en-US" w:eastAsia="en-AU"/>
        </w:rPr>
        <w:t>lowest-cost 25</w:t>
      </w:r>
      <w:r>
        <w:rPr>
          <w:rFonts w:eastAsia="Times New Roman" w:cstheme="minorHAnsi"/>
          <w:lang w:val="en-US" w:eastAsia="en-AU"/>
        </w:rPr>
        <w:t xml:space="preserve">th percentile of providers </w:t>
      </w:r>
      <w:r w:rsidDel="00EB7338">
        <w:rPr>
          <w:rFonts w:eastAsia="Times New Roman" w:cstheme="minorHAnsi"/>
          <w:lang w:val="en-US" w:eastAsia="en-AU"/>
        </w:rPr>
        <w:t>in</w:t>
      </w:r>
      <w:r>
        <w:rPr>
          <w:rFonts w:eastAsia="Times New Roman" w:cstheme="minorHAnsi"/>
          <w:lang w:val="en-US" w:eastAsia="en-AU"/>
        </w:rPr>
        <w:t xml:space="preserve"> </w:t>
      </w:r>
      <w:r w:rsidDel="00EB7338">
        <w:rPr>
          <w:rFonts w:eastAsia="Times New Roman" w:cstheme="minorHAnsi"/>
          <w:lang w:val="en-US" w:eastAsia="en-AU"/>
        </w:rPr>
        <w:t xml:space="preserve">each of the </w:t>
      </w:r>
      <w:r>
        <w:rPr>
          <w:rFonts w:eastAsia="Times New Roman" w:cstheme="minorHAnsi"/>
          <w:lang w:val="en-US" w:eastAsia="en-AU"/>
        </w:rPr>
        <w:t>four metrics</w:t>
      </w:r>
      <w:r w:rsidRPr="00E239E6">
        <w:rPr>
          <w:rFonts w:eastAsia="Times New Roman" w:cstheme="minorHAnsi"/>
          <w:lang w:val="en-US" w:eastAsia="en-AU"/>
        </w:rPr>
        <w:t xml:space="preserve"> plus a margin</w:t>
      </w:r>
      <w:r>
        <w:rPr>
          <w:rFonts w:eastAsia="Times New Roman" w:cstheme="minorHAnsi"/>
          <w:lang w:val="en-US" w:eastAsia="en-AU"/>
        </w:rPr>
        <w:t xml:space="preserve"> (</w:t>
      </w:r>
      <w:r>
        <w:rPr>
          <w:rFonts w:eastAsia="Times New Roman" w:cstheme="minorHAnsi"/>
          <w:i/>
          <w:lang w:val="en-US" w:eastAsia="en-AU"/>
        </w:rPr>
        <w:t>Figure 10</w:t>
      </w:r>
      <w:r w:rsidRPr="004C2E81">
        <w:rPr>
          <w:rFonts w:eastAsia="Times New Roman" w:cstheme="minorHAnsi"/>
          <w:lang w:val="en-US" w:eastAsia="en-AU"/>
        </w:rPr>
        <w:t>)</w:t>
      </w:r>
      <w:r w:rsidRPr="00E239E6">
        <w:rPr>
          <w:rFonts w:eastAsia="Times New Roman" w:cstheme="minorHAnsi"/>
          <w:lang w:val="en-US" w:eastAsia="en-AU"/>
        </w:rPr>
        <w:t>.</w:t>
      </w:r>
      <w:r>
        <w:rPr>
          <w:rStyle w:val="EndnoteReference"/>
          <w:rFonts w:eastAsia="Times New Roman" w:cstheme="minorHAnsi"/>
          <w:lang w:val="en-US" w:eastAsia="en-AU"/>
        </w:rPr>
        <w:endnoteReference w:id="38"/>
      </w:r>
      <w:r>
        <w:rPr>
          <w:rFonts w:eastAsia="Times New Roman" w:cstheme="minorHAnsi"/>
          <w:lang w:val="en-US" w:eastAsia="en-AU"/>
        </w:rPr>
        <w:t xml:space="preserve"> (Note, eligible providers can also apply for the TTP.)</w:t>
      </w:r>
    </w:p>
    <w:p w14:paraId="5C000716" w14:textId="77777777" w:rsidR="00025FBA" w:rsidRPr="00FA01A4" w:rsidRDefault="00025FBA" w:rsidP="00025FBA">
      <w:pPr>
        <w:rPr>
          <w:rFonts w:eastAsia="Times New Roman" w:cstheme="minorHAnsi"/>
          <w:lang w:val="en-US" w:eastAsia="en-AU"/>
        </w:rPr>
      </w:pPr>
      <w:r w:rsidRPr="00E239E6">
        <w:rPr>
          <w:rFonts w:eastAsia="Times New Roman" w:cstheme="minorHAnsi"/>
          <w:lang w:val="en-US" w:eastAsia="en-AU"/>
        </w:rPr>
        <w:t>Th</w:t>
      </w:r>
      <w:r>
        <w:rPr>
          <w:rFonts w:eastAsia="Times New Roman" w:cstheme="minorHAnsi"/>
          <w:lang w:val="en-US" w:eastAsia="en-AU"/>
        </w:rPr>
        <w:t>is means, for a given price cap, fewer than one in four</w:t>
      </w:r>
      <w:r w:rsidRPr="00BD772C">
        <w:rPr>
          <w:rFonts w:eastAsia="Times New Roman" w:cstheme="minorHAnsi"/>
          <w:b/>
          <w:lang w:val="en-US" w:eastAsia="en-AU"/>
        </w:rPr>
        <w:t xml:space="preserve"> </w:t>
      </w:r>
      <w:r w:rsidRPr="00BD772C">
        <w:rPr>
          <w:rFonts w:eastAsia="Times New Roman" w:cstheme="minorHAnsi"/>
          <w:lang w:val="en-US" w:eastAsia="en-AU"/>
        </w:rPr>
        <w:t xml:space="preserve">providers </w:t>
      </w:r>
      <w:r w:rsidDel="00B86E51">
        <w:rPr>
          <w:rFonts w:eastAsia="Times New Roman" w:cstheme="minorHAnsi"/>
          <w:lang w:val="en-US" w:eastAsia="en-AU"/>
        </w:rPr>
        <w:t>may</w:t>
      </w:r>
      <w:r w:rsidRPr="00BD772C" w:rsidDel="00B86E51">
        <w:rPr>
          <w:rFonts w:eastAsia="Times New Roman" w:cstheme="minorHAnsi"/>
          <w:lang w:val="en-US" w:eastAsia="en-AU"/>
        </w:rPr>
        <w:t xml:space="preserve"> </w:t>
      </w:r>
      <w:r>
        <w:rPr>
          <w:rFonts w:eastAsia="Times New Roman" w:cstheme="minorHAnsi"/>
          <w:lang w:val="en-US" w:eastAsia="en-AU"/>
        </w:rPr>
        <w:t>incur</w:t>
      </w:r>
      <w:r w:rsidRPr="00BD772C">
        <w:rPr>
          <w:rFonts w:eastAsia="Times New Roman" w:cstheme="minorHAnsi"/>
          <w:lang w:val="en-US" w:eastAsia="en-AU"/>
        </w:rPr>
        <w:t xml:space="preserve"> costs </w:t>
      </w:r>
      <w:r>
        <w:rPr>
          <w:rFonts w:eastAsia="Times New Roman" w:cstheme="minorHAnsi"/>
          <w:lang w:val="en-US" w:eastAsia="en-AU"/>
        </w:rPr>
        <w:t xml:space="preserve">less </w:t>
      </w:r>
      <w:r w:rsidRPr="00BD772C">
        <w:rPr>
          <w:rFonts w:eastAsia="Times New Roman" w:cstheme="minorHAnsi"/>
          <w:lang w:val="en-US" w:eastAsia="en-AU"/>
        </w:rPr>
        <w:t>than th</w:t>
      </w:r>
      <w:r>
        <w:rPr>
          <w:rFonts w:eastAsia="Times New Roman" w:cstheme="minorHAnsi"/>
          <w:lang w:val="en-US" w:eastAsia="en-AU"/>
        </w:rPr>
        <w:t>e</w:t>
      </w:r>
      <w:r w:rsidRPr="00BD772C">
        <w:rPr>
          <w:rFonts w:eastAsia="Times New Roman" w:cstheme="minorHAnsi"/>
          <w:lang w:val="en-US" w:eastAsia="en-AU"/>
        </w:rPr>
        <w:t xml:space="preserve"> price</w:t>
      </w:r>
      <w:r>
        <w:rPr>
          <w:rFonts w:eastAsia="Times New Roman" w:cstheme="minorHAnsi"/>
          <w:lang w:val="en-US" w:eastAsia="en-AU"/>
        </w:rPr>
        <w:t xml:space="preserve"> cap. </w:t>
      </w:r>
    </w:p>
    <w:p w14:paraId="081CCA03" w14:textId="77777777" w:rsidR="00025FBA" w:rsidRDefault="00025FBA" w:rsidP="00025FBA">
      <w:pPr>
        <w:rPr>
          <w:rFonts w:cstheme="minorHAnsi"/>
          <w:lang w:val="en-US"/>
        </w:rPr>
      </w:pPr>
      <w:r w:rsidRPr="00E239E6">
        <w:rPr>
          <w:rFonts w:eastAsia="Times New Roman" w:cstheme="minorHAnsi"/>
          <w:lang w:val="en-US" w:eastAsia="en-AU"/>
        </w:rPr>
        <w:t>The approach used by the NDIA sets the ‘efficient’ or ‘benchmark’ cost at a lower point th</w:t>
      </w:r>
      <w:r>
        <w:rPr>
          <w:rFonts w:eastAsia="Times New Roman" w:cstheme="minorHAnsi"/>
          <w:lang w:val="en-US" w:eastAsia="en-AU"/>
        </w:rPr>
        <w:t>a</w:t>
      </w:r>
      <w:r w:rsidRPr="00E239E6">
        <w:rPr>
          <w:rFonts w:eastAsia="Times New Roman" w:cstheme="minorHAnsi"/>
          <w:lang w:val="en-US" w:eastAsia="en-AU"/>
        </w:rPr>
        <w:t xml:space="preserve">n some other social services. </w:t>
      </w:r>
      <w:r>
        <w:rPr>
          <w:rFonts w:eastAsia="Times New Roman" w:cstheme="minorHAnsi"/>
          <w:lang w:val="en-US" w:eastAsia="en-AU"/>
        </w:rPr>
        <w:t>For example, t</w:t>
      </w:r>
      <w:r w:rsidRPr="00E239E6">
        <w:rPr>
          <w:rFonts w:eastAsia="Times New Roman" w:cstheme="minorHAnsi"/>
          <w:lang w:val="en-US" w:eastAsia="en-AU"/>
        </w:rPr>
        <w:t>he ‘efficient cost’ for funding public hospitals, or the Nationally Efficient Price, is based on the average cost of an episode of care provided in public hospital</w:t>
      </w:r>
      <w:r>
        <w:rPr>
          <w:rFonts w:eastAsia="Times New Roman" w:cstheme="minorHAnsi"/>
          <w:lang w:val="en-US" w:eastAsia="en-AU"/>
        </w:rPr>
        <w:t>s</w:t>
      </w:r>
      <w:r w:rsidRPr="00E239E6">
        <w:rPr>
          <w:rFonts w:eastAsia="Times New Roman" w:cstheme="minorHAnsi"/>
          <w:lang w:val="en-US" w:eastAsia="en-AU"/>
        </w:rPr>
        <w:t>.</w:t>
      </w:r>
      <w:r w:rsidRPr="00E239E6">
        <w:rPr>
          <w:rStyle w:val="EndnoteReference"/>
          <w:rFonts w:eastAsia="Times New Roman" w:cstheme="minorHAnsi"/>
          <w:lang w:val="en-US" w:eastAsia="en-AU"/>
        </w:rPr>
        <w:endnoteReference w:id="39"/>
      </w:r>
      <w:r>
        <w:rPr>
          <w:rFonts w:cstheme="minorHAnsi"/>
          <w:lang w:val="en-US"/>
        </w:rPr>
        <w:t xml:space="preserve"> </w:t>
      </w:r>
    </w:p>
    <w:p w14:paraId="537E8199" w14:textId="77777777" w:rsidR="00025FBA" w:rsidRDefault="00025FBA" w:rsidP="00025FBA">
      <w:pPr>
        <w:rPr>
          <w:rFonts w:eastAsia="Times New Roman"/>
          <w:lang w:val="en-US" w:eastAsia="en-AU"/>
        </w:rPr>
      </w:pPr>
      <w:r w:rsidRPr="002204A0">
        <w:rPr>
          <w:rFonts w:eastAsia="Times New Roman"/>
          <w:lang w:val="en-US" w:eastAsia="en-AU"/>
        </w:rPr>
        <w:t>Th</w:t>
      </w:r>
      <w:r>
        <w:rPr>
          <w:rFonts w:eastAsia="Times New Roman"/>
          <w:lang w:val="en-US" w:eastAsia="en-AU"/>
        </w:rPr>
        <w:t>e</w:t>
      </w:r>
      <w:r w:rsidRPr="002204A0">
        <w:rPr>
          <w:rFonts w:eastAsia="Times New Roman"/>
          <w:lang w:val="en-US" w:eastAsia="en-AU"/>
        </w:rPr>
        <w:t xml:space="preserve"> design of</w:t>
      </w:r>
      <w:r>
        <w:rPr>
          <w:rFonts w:eastAsia="Times New Roman"/>
          <w:lang w:val="en-US" w:eastAsia="en-AU"/>
        </w:rPr>
        <w:t xml:space="preserve"> NDIS</w:t>
      </w:r>
      <w:r w:rsidRPr="002204A0">
        <w:rPr>
          <w:rFonts w:eastAsia="Times New Roman"/>
          <w:lang w:val="en-US" w:eastAsia="en-AU"/>
        </w:rPr>
        <w:t xml:space="preserve"> price caps was largely intended to help shape the NDIS market by rewarding the most efficient providers while the market developed and stabilise</w:t>
      </w:r>
      <w:r>
        <w:rPr>
          <w:rFonts w:eastAsia="Times New Roman"/>
          <w:lang w:val="en-US" w:eastAsia="en-AU"/>
        </w:rPr>
        <w:t>d in the short term. O</w:t>
      </w:r>
      <w:r w:rsidRPr="002204A0">
        <w:rPr>
          <w:rFonts w:eastAsia="Times New Roman"/>
          <w:lang w:val="en-US" w:eastAsia="en-AU"/>
        </w:rPr>
        <w:t xml:space="preserve">ver time, </w:t>
      </w:r>
      <w:r>
        <w:rPr>
          <w:rFonts w:eastAsia="Times New Roman"/>
          <w:lang w:val="en-US" w:eastAsia="en-AU"/>
        </w:rPr>
        <w:t xml:space="preserve">competition was expected to </w:t>
      </w:r>
      <w:r w:rsidRPr="002204A0">
        <w:rPr>
          <w:rFonts w:eastAsia="Times New Roman"/>
          <w:lang w:val="en-US" w:eastAsia="en-AU"/>
        </w:rPr>
        <w:t>drive provider efficiency.</w:t>
      </w:r>
      <w:r w:rsidRPr="3DFFC190">
        <w:rPr>
          <w:rFonts w:eastAsia="Times New Roman"/>
          <w:lang w:val="en-US" w:eastAsia="en-AU"/>
        </w:rPr>
        <w:t xml:space="preserve"> </w:t>
      </w:r>
    </w:p>
    <w:p w14:paraId="373EA060" w14:textId="77777777" w:rsidR="00025FBA" w:rsidRDefault="00025FBA" w:rsidP="00025FBA">
      <w:pPr>
        <w:rPr>
          <w:rFonts w:cstheme="minorHAnsi"/>
          <w:lang w:val="en-US"/>
        </w:rPr>
      </w:pPr>
      <w:r>
        <w:rPr>
          <w:rFonts w:cstheme="minorHAnsi"/>
          <w:lang w:val="en-US"/>
        </w:rPr>
        <w:t>Evidently, price caps play a significant</w:t>
      </w:r>
      <w:r w:rsidRPr="00E239E6">
        <w:rPr>
          <w:rFonts w:cstheme="minorHAnsi"/>
          <w:lang w:val="en-US"/>
        </w:rPr>
        <w:t xml:space="preserve"> role </w:t>
      </w:r>
      <w:r>
        <w:rPr>
          <w:rFonts w:cstheme="minorHAnsi"/>
          <w:lang w:val="en-US"/>
        </w:rPr>
        <w:t xml:space="preserve">in controlling short-term </w:t>
      </w:r>
      <w:r w:rsidRPr="00E239E6">
        <w:rPr>
          <w:rFonts w:cstheme="minorHAnsi"/>
          <w:lang w:val="en-US"/>
        </w:rPr>
        <w:t>scheme costs</w:t>
      </w:r>
      <w:r>
        <w:rPr>
          <w:rFonts w:cstheme="minorHAnsi"/>
          <w:lang w:val="en-US"/>
        </w:rPr>
        <w:t xml:space="preserve"> but can have adverse long-term consequences.</w:t>
      </w:r>
      <w:r w:rsidR="009D296A">
        <w:rPr>
          <w:rFonts w:cstheme="minorHAnsi"/>
          <w:lang w:val="en-US"/>
        </w:rPr>
        <w:br w:type="page"/>
      </w:r>
    </w:p>
    <w:p w14:paraId="789B5BE3" w14:textId="7DD2433B" w:rsidR="003D1722" w:rsidRDefault="00025FBA" w:rsidP="00C53CA3">
      <w:pPr>
        <w:pStyle w:val="Figure"/>
      </w:pPr>
      <w:r w:rsidRPr="00025FBA">
        <w:lastRenderedPageBreak/>
        <w:t>Price caps and the DSW Cost Model</w:t>
      </w:r>
    </w:p>
    <w:p w14:paraId="7B210B92" w14:textId="77777777" w:rsidR="00025FBA" w:rsidRPr="00563CA1" w:rsidRDefault="009D296A" w:rsidP="00036C37">
      <w:pPr>
        <w:pStyle w:val="B1-Body"/>
      </w:pPr>
      <w:r w:rsidRPr="00563CA1">
        <w:t>When setting price caps, the NDIA makes a bottom-up estimate o</w:t>
      </w:r>
      <w:r w:rsidR="00036C37">
        <w:t>f cost for a Disability Support</w:t>
      </w:r>
      <w:r w:rsidR="00036C37">
        <w:br/>
      </w:r>
      <w:r w:rsidRPr="00563CA1">
        <w:t>Worker (DSW) to estimate the ‘fully-loaded cost’ of delivering an hour of support based on the following factors:</w:t>
      </w:r>
    </w:p>
    <w:p w14:paraId="3DC5E6D6" w14:textId="77777777" w:rsidR="009D296A" w:rsidRPr="00036C37" w:rsidRDefault="009D296A" w:rsidP="00036C37">
      <w:pPr>
        <w:pStyle w:val="B2-Body"/>
        <w:rPr>
          <w:b/>
        </w:rPr>
      </w:pPr>
      <w:r w:rsidRPr="00036C37">
        <w:rPr>
          <w:rFonts w:eastAsia="Segoe UI"/>
          <w:b/>
        </w:rPr>
        <w:t>Time spent with participants</w:t>
      </w:r>
    </w:p>
    <w:p w14:paraId="6C3570E3" w14:textId="77777777" w:rsidR="00036C37" w:rsidRPr="00036C37" w:rsidRDefault="009D296A" w:rsidP="00036C37">
      <w:pPr>
        <w:pStyle w:val="B2-Body"/>
        <w:rPr>
          <w:rFonts w:eastAsia="Segoe UI"/>
        </w:rPr>
      </w:pPr>
      <w:r>
        <w:rPr>
          <w:rFonts w:eastAsia="Segoe UI"/>
        </w:rPr>
        <w:t>The time spent with participants, or ‘utilisation rate’ is the assumed wages for the time workers spend with participants relative to the time spent on non-billable activities – including time spent on training, breaks and</w:t>
      </w:r>
      <w:r w:rsidR="00036C37">
        <w:rPr>
          <w:rFonts w:eastAsia="Segoe UI"/>
        </w:rPr>
        <w:t xml:space="preserve"> client related administration.</w:t>
      </w:r>
      <w:r w:rsidR="00036C37">
        <w:rPr>
          <w:rFonts w:eastAsia="Segoe UI"/>
        </w:rPr>
        <w:br/>
      </w:r>
    </w:p>
    <w:p w14:paraId="5938A9CD" w14:textId="77777777" w:rsidR="009D296A" w:rsidRPr="00036C37" w:rsidRDefault="009D296A" w:rsidP="00036C37">
      <w:pPr>
        <w:pStyle w:val="B2-Body"/>
        <w:rPr>
          <w:b/>
        </w:rPr>
      </w:pPr>
      <w:r w:rsidRPr="00036C37">
        <w:rPr>
          <w:b/>
        </w:rPr>
        <w:t xml:space="preserve">Supervision ratio </w:t>
      </w:r>
    </w:p>
    <w:p w14:paraId="6DD708B1" w14:textId="77777777" w:rsidR="009D296A" w:rsidRPr="00036C37" w:rsidRDefault="009D296A" w:rsidP="00036C37">
      <w:pPr>
        <w:pStyle w:val="B2-Body"/>
      </w:pPr>
      <w:r w:rsidRPr="00036C37">
        <w:t>The</w:t>
      </w:r>
      <w:r w:rsidRPr="00563CA1">
        <w:t xml:space="preserve"> </w:t>
      </w:r>
      <w:r w:rsidRPr="00AA6348">
        <w:t xml:space="preserve">‘span of control’ </w:t>
      </w:r>
      <w:r w:rsidRPr="00036C37">
        <w:t>is the ratio of workers per supervisor.</w:t>
      </w:r>
      <w:r w:rsidR="00036C37">
        <w:br/>
      </w:r>
    </w:p>
    <w:p w14:paraId="6D756BBA" w14:textId="77777777" w:rsidR="009D296A" w:rsidRPr="00036C37" w:rsidRDefault="009D296A" w:rsidP="00036C37">
      <w:pPr>
        <w:pStyle w:val="B2-Body"/>
        <w:rPr>
          <w:b/>
        </w:rPr>
      </w:pPr>
      <w:r w:rsidRPr="00036C37">
        <w:rPr>
          <w:b/>
        </w:rPr>
        <w:t>Share of casual workers</w:t>
      </w:r>
    </w:p>
    <w:p w14:paraId="4CB2C178" w14:textId="77777777" w:rsidR="009D296A" w:rsidRDefault="009D296A" w:rsidP="00036C37">
      <w:pPr>
        <w:pStyle w:val="B2-Body"/>
      </w:pPr>
      <w:r w:rsidRPr="00AA6348">
        <w:t>‘Permanent employment rate’</w:t>
      </w:r>
      <w:r>
        <w:t xml:space="preserve"> is the proportion of workers employed on a permanent basis.</w:t>
      </w:r>
      <w:r w:rsidR="00036C37">
        <w:br/>
      </w:r>
    </w:p>
    <w:p w14:paraId="00B4FF06" w14:textId="77777777" w:rsidR="009D296A" w:rsidRPr="00036C37" w:rsidRDefault="009D296A" w:rsidP="00036C37">
      <w:pPr>
        <w:pStyle w:val="B2-Body"/>
        <w:rPr>
          <w:b/>
        </w:rPr>
      </w:pPr>
      <w:r w:rsidRPr="00036C37">
        <w:rPr>
          <w:b/>
        </w:rPr>
        <w:t xml:space="preserve">Corporate Overheads </w:t>
      </w:r>
    </w:p>
    <w:p w14:paraId="3AA84845" w14:textId="77777777" w:rsidR="009D296A" w:rsidRDefault="009D296A" w:rsidP="00036C37">
      <w:pPr>
        <w:pStyle w:val="B2-Body"/>
      </w:pPr>
      <w:r>
        <w:t xml:space="preserve">Administrative costs including the accounting, human resources, legal, marketing, and technology functions. </w:t>
      </w:r>
    </w:p>
    <w:p w14:paraId="64E956A8" w14:textId="77777777" w:rsidR="009D296A" w:rsidRDefault="009D296A" w:rsidP="00563CA1">
      <w:pPr>
        <w:pStyle w:val="Style2"/>
        <w:rPr>
          <w:b/>
        </w:rPr>
      </w:pPr>
      <w:r w:rsidRPr="00563CA1">
        <w:rPr>
          <w:b/>
        </w:rPr>
        <w:t>Profit margin</w:t>
      </w:r>
    </w:p>
    <w:p w14:paraId="4A3E0686" w14:textId="02CFDC9E" w:rsidR="008A5BCE" w:rsidRDefault="008A5BCE" w:rsidP="008A5BCE">
      <w:pPr>
        <w:pStyle w:val="Heading3"/>
        <w:rPr>
          <w:rFonts w:eastAsia="Times New Roman"/>
          <w:lang w:eastAsia="en-AU"/>
        </w:rPr>
      </w:pPr>
      <w:r w:rsidRPr="00032AFA">
        <w:rPr>
          <w:rFonts w:eastAsia="Times New Roman"/>
          <w:lang w:eastAsia="en-AU"/>
        </w:rPr>
        <w:t xml:space="preserve">Price caps act more as a ‘price </w:t>
      </w:r>
      <w:r>
        <w:rPr>
          <w:rFonts w:eastAsia="Times New Roman"/>
          <w:lang w:eastAsia="en-AU"/>
        </w:rPr>
        <w:t>anchor’</w:t>
      </w:r>
      <w:r w:rsidR="00036C37">
        <w:rPr>
          <w:rFonts w:eastAsia="Times New Roman"/>
          <w:lang w:eastAsia="en-AU"/>
        </w:rPr>
        <w:t xml:space="preserve"> than a</w:t>
      </w:r>
      <w:r w:rsidR="00036C37">
        <w:rPr>
          <w:rFonts w:eastAsia="Times New Roman"/>
          <w:lang w:eastAsia="en-AU"/>
        </w:rPr>
        <w:br/>
      </w:r>
      <w:r w:rsidRPr="00032AFA">
        <w:rPr>
          <w:rFonts w:eastAsia="Times New Roman"/>
          <w:lang w:eastAsia="en-AU"/>
        </w:rPr>
        <w:t>‘price ceiling’</w:t>
      </w:r>
    </w:p>
    <w:p w14:paraId="488D1B52" w14:textId="77777777" w:rsidR="008A5BCE" w:rsidRPr="00684283" w:rsidRDefault="008A5BCE" w:rsidP="008A5BCE">
      <w:pPr>
        <w:pStyle w:val="Quote"/>
        <w:spacing w:before="0"/>
        <w:rPr>
          <w:szCs w:val="24"/>
        </w:rPr>
      </w:pPr>
      <w:r>
        <w:rPr>
          <w:szCs w:val="24"/>
        </w:rPr>
        <w:t>‘</w:t>
      </w:r>
      <w:r w:rsidRPr="00684283">
        <w:rPr>
          <w:szCs w:val="24"/>
        </w:rPr>
        <w:t xml:space="preserve">Providers </w:t>
      </w:r>
      <w:r>
        <w:rPr>
          <w:szCs w:val="24"/>
        </w:rPr>
        <w:t xml:space="preserve">[are] </w:t>
      </w:r>
      <w:r w:rsidRPr="00684283">
        <w:rPr>
          <w:szCs w:val="24"/>
        </w:rPr>
        <w:t>always charging the full NDIS rate</w:t>
      </w:r>
      <w:r w:rsidR="00DB0E82">
        <w:rPr>
          <w:szCs w:val="24"/>
        </w:rPr>
        <w:t xml:space="preserve"> even though it's</w:t>
      </w:r>
      <w:r w:rsidR="00DB0E82">
        <w:rPr>
          <w:szCs w:val="24"/>
        </w:rPr>
        <w:br/>
      </w:r>
      <w:r>
        <w:rPr>
          <w:szCs w:val="24"/>
        </w:rPr>
        <w:t>just a guide.’</w:t>
      </w:r>
    </w:p>
    <w:p w14:paraId="685DEE0E" w14:textId="77777777" w:rsidR="008A5BCE" w:rsidRPr="005B5848" w:rsidRDefault="00036C37" w:rsidP="008A5BCE">
      <w:pPr>
        <w:pStyle w:val="Quote"/>
      </w:pPr>
      <w:r w:rsidRPr="002877C5">
        <w:t xml:space="preserve">– </w:t>
      </w:r>
      <w:r w:rsidR="008A5BCE" w:rsidRPr="008A5BCE">
        <w:t>Anonymous</w:t>
      </w:r>
      <w:r w:rsidR="008A5BCE" w:rsidRPr="00684283">
        <w:t>, Carer</w:t>
      </w:r>
      <w:r w:rsidR="008A5BCE">
        <w:t xml:space="preserve"> of NDIS participant</w:t>
      </w:r>
      <w:r w:rsidR="008A5BCE">
        <w:rPr>
          <w:rStyle w:val="EndnoteReference"/>
          <w:i w:val="0"/>
          <w:szCs w:val="24"/>
        </w:rPr>
        <w:endnoteReference w:id="40"/>
      </w:r>
    </w:p>
    <w:p w14:paraId="7682840C" w14:textId="77777777" w:rsidR="008A5BCE" w:rsidRDefault="008A5BCE" w:rsidP="008A5BCE">
      <w:pPr>
        <w:rPr>
          <w:rFonts w:cstheme="minorHAnsi"/>
          <w:lang w:val="en-US"/>
        </w:rPr>
      </w:pPr>
      <w:r w:rsidRPr="00E239E6">
        <w:rPr>
          <w:rFonts w:cstheme="minorHAnsi"/>
          <w:lang w:val="en-US"/>
        </w:rPr>
        <w:t xml:space="preserve">Setting an efficient or benchmark price itself can have sustainability benefits. </w:t>
      </w:r>
    </w:p>
    <w:p w14:paraId="0810AEF5" w14:textId="77777777" w:rsidR="008A5BCE" w:rsidRDefault="008A5BCE" w:rsidP="008A5BCE">
      <w:pPr>
        <w:rPr>
          <w:rFonts w:cstheme="minorHAnsi"/>
          <w:lang w:val="en-US"/>
        </w:rPr>
      </w:pPr>
      <w:r>
        <w:rPr>
          <w:rFonts w:cstheme="minorHAnsi"/>
          <w:lang w:val="en-US"/>
        </w:rPr>
        <w:lastRenderedPageBreak/>
        <w:t>G</w:t>
      </w:r>
      <w:r w:rsidRPr="00E239E6">
        <w:rPr>
          <w:rFonts w:cstheme="minorHAnsi"/>
          <w:lang w:val="en-US"/>
        </w:rPr>
        <w:t>etting the level of t</w:t>
      </w:r>
      <w:r>
        <w:rPr>
          <w:rFonts w:cstheme="minorHAnsi"/>
          <w:lang w:val="en-US"/>
        </w:rPr>
        <w:t xml:space="preserve">his ‘efficient’ price right is hard but </w:t>
      </w:r>
      <w:r w:rsidRPr="00E239E6">
        <w:rPr>
          <w:rFonts w:cstheme="minorHAnsi"/>
          <w:lang w:val="en-US"/>
        </w:rPr>
        <w:t xml:space="preserve">vital for encouraging supply. </w:t>
      </w:r>
    </w:p>
    <w:p w14:paraId="0314A461" w14:textId="77777777" w:rsidR="008A5BCE" w:rsidRDefault="008A5BCE" w:rsidP="008A5BCE">
      <w:pPr>
        <w:rPr>
          <w:rFonts w:eastAsia="Times New Roman" w:cstheme="minorHAnsi"/>
          <w:lang w:eastAsia="en-AU"/>
        </w:rPr>
      </w:pPr>
      <w:r w:rsidRPr="00E239E6">
        <w:rPr>
          <w:rFonts w:cstheme="minorHAnsi"/>
          <w:lang w:val="en-US"/>
        </w:rPr>
        <w:t xml:space="preserve">A price level </w:t>
      </w:r>
      <w:r>
        <w:rPr>
          <w:rFonts w:cstheme="minorHAnsi"/>
          <w:lang w:val="en-US"/>
        </w:rPr>
        <w:t xml:space="preserve">that is </w:t>
      </w:r>
      <w:r w:rsidRPr="00E239E6">
        <w:rPr>
          <w:rFonts w:cstheme="minorHAnsi"/>
          <w:lang w:val="en-US"/>
        </w:rPr>
        <w:t xml:space="preserve">too low may </w:t>
      </w:r>
      <w:r>
        <w:rPr>
          <w:rFonts w:cstheme="minorHAnsi"/>
          <w:lang w:val="en-US"/>
        </w:rPr>
        <w:t>not</w:t>
      </w:r>
      <w:r w:rsidRPr="00E239E6">
        <w:rPr>
          <w:rFonts w:cstheme="minorHAnsi"/>
          <w:lang w:val="en-US"/>
        </w:rPr>
        <w:t xml:space="preserve"> incentivise providers </w:t>
      </w:r>
      <w:r>
        <w:rPr>
          <w:rFonts w:cstheme="minorHAnsi"/>
          <w:lang w:val="en-US"/>
        </w:rPr>
        <w:t>to join</w:t>
      </w:r>
      <w:r w:rsidRPr="00E239E6">
        <w:rPr>
          <w:rFonts w:cstheme="minorHAnsi"/>
          <w:lang w:val="en-US"/>
        </w:rPr>
        <w:t xml:space="preserve"> the scheme and prevent participants from having access to adequate supports.</w:t>
      </w:r>
      <w:r>
        <w:rPr>
          <w:rStyle w:val="EndnoteReference"/>
          <w:rFonts w:cstheme="minorHAnsi"/>
          <w:lang w:val="en-US"/>
        </w:rPr>
        <w:endnoteReference w:id="41"/>
      </w:r>
      <w:r w:rsidRPr="00E239E6">
        <w:rPr>
          <w:rFonts w:cstheme="minorHAnsi"/>
          <w:lang w:val="en-US"/>
        </w:rPr>
        <w:t xml:space="preserve"> </w:t>
      </w:r>
      <w:r>
        <w:rPr>
          <w:rFonts w:eastAsia="Times New Roman"/>
          <w:lang w:eastAsia="en-AU"/>
        </w:rPr>
        <w:t>The NDS</w:t>
      </w:r>
      <w:r w:rsidRPr="00891BB6">
        <w:rPr>
          <w:rFonts w:eastAsia="Times New Roman"/>
          <w:lang w:eastAsia="en-AU"/>
        </w:rPr>
        <w:t xml:space="preserve"> </w:t>
      </w:r>
      <w:r w:rsidRPr="00891BB6">
        <w:rPr>
          <w:rFonts w:eastAsia="Times New Roman"/>
          <w:i/>
          <w:lang w:eastAsia="en-AU"/>
        </w:rPr>
        <w:t>State of the Disability Sector Report 2022</w:t>
      </w:r>
      <w:r w:rsidRPr="00891BB6">
        <w:rPr>
          <w:rFonts w:eastAsia="Times New Roman"/>
          <w:lang w:eastAsia="en-AU"/>
        </w:rPr>
        <w:t xml:space="preserve"> </w:t>
      </w:r>
      <w:r>
        <w:rPr>
          <w:rFonts w:eastAsia="Times New Roman"/>
          <w:lang w:eastAsia="en-AU"/>
        </w:rPr>
        <w:t>found</w:t>
      </w:r>
      <w:r w:rsidRPr="00891BB6">
        <w:rPr>
          <w:rFonts w:eastAsia="Times New Roman"/>
          <w:lang w:eastAsia="en-AU"/>
        </w:rPr>
        <w:t xml:space="preserve"> tha</w:t>
      </w:r>
      <w:r>
        <w:rPr>
          <w:rFonts w:eastAsia="Times New Roman"/>
          <w:lang w:eastAsia="en-AU"/>
        </w:rPr>
        <w:t>t</w:t>
      </w:r>
      <w:r w:rsidRPr="00560478">
        <w:rPr>
          <w:rFonts w:cstheme="minorHAnsi"/>
          <w:lang w:val="en-US"/>
        </w:rPr>
        <w:t xml:space="preserve"> </w:t>
      </w:r>
      <w:r>
        <w:rPr>
          <w:rFonts w:cstheme="minorHAnsi"/>
          <w:lang w:val="en-US"/>
        </w:rPr>
        <w:t>almost three out of five (59%)</w:t>
      </w:r>
      <w:r w:rsidRPr="00560478">
        <w:rPr>
          <w:rFonts w:cstheme="minorHAnsi"/>
          <w:lang w:val="en-US"/>
        </w:rPr>
        <w:t xml:space="preserve"> of surveyed providers said they were worried they would not be able to provide NDIS services at current prices.</w:t>
      </w:r>
      <w:r>
        <w:rPr>
          <w:rStyle w:val="EndnoteReference"/>
          <w:rFonts w:cstheme="minorHAnsi"/>
          <w:lang w:val="en-US"/>
        </w:rPr>
        <w:endnoteReference w:id="42"/>
      </w:r>
      <w:r w:rsidRPr="002B1E61">
        <w:rPr>
          <w:rFonts w:eastAsia="Times New Roman" w:cstheme="minorHAnsi"/>
          <w:lang w:eastAsia="en-AU"/>
        </w:rPr>
        <w:t xml:space="preserve"> </w:t>
      </w:r>
    </w:p>
    <w:p w14:paraId="49F2D9A1" w14:textId="77777777" w:rsidR="008A5BCE" w:rsidRPr="002D2B43" w:rsidRDefault="008A5BCE" w:rsidP="008A5BCE">
      <w:pPr>
        <w:rPr>
          <w:rFonts w:eastAsia="Times New Roman" w:cstheme="minorHAnsi"/>
          <w:lang w:eastAsia="en-AU"/>
        </w:rPr>
      </w:pPr>
      <w:r w:rsidRPr="00E239E6">
        <w:rPr>
          <w:rFonts w:eastAsia="Times New Roman" w:cstheme="minorHAnsi"/>
          <w:lang w:eastAsia="en-AU"/>
        </w:rPr>
        <w:t xml:space="preserve">Price caps can also create unintended service gaps where they do not take into account differences in </w:t>
      </w:r>
      <w:r>
        <w:rPr>
          <w:rFonts w:eastAsia="Times New Roman" w:cstheme="minorHAnsi"/>
          <w:lang w:eastAsia="en-AU"/>
        </w:rPr>
        <w:t>‘market’ price at which providers are willing to supply services –</w:t>
      </w:r>
      <w:r w:rsidRPr="00E239E6">
        <w:rPr>
          <w:rFonts w:eastAsia="Times New Roman" w:cstheme="minorHAnsi"/>
          <w:lang w:eastAsia="en-AU"/>
        </w:rPr>
        <w:t xml:space="preserve"> such as</w:t>
      </w:r>
      <w:r>
        <w:rPr>
          <w:rFonts w:eastAsia="Times New Roman" w:cstheme="minorHAnsi"/>
          <w:lang w:eastAsia="en-AU"/>
        </w:rPr>
        <w:t xml:space="preserve">, </w:t>
      </w:r>
      <w:r w:rsidRPr="00BB20CF">
        <w:rPr>
          <w:rFonts w:eastAsia="Times New Roman" w:cstheme="minorHAnsi"/>
          <w:lang w:eastAsia="en-AU"/>
        </w:rPr>
        <w:t xml:space="preserve">for participants with </w:t>
      </w:r>
      <w:r>
        <w:rPr>
          <w:rFonts w:eastAsia="Times New Roman" w:cstheme="minorHAnsi"/>
          <w:lang w:eastAsia="en-AU"/>
        </w:rPr>
        <w:t>more</w:t>
      </w:r>
      <w:r w:rsidRPr="00BB20CF">
        <w:rPr>
          <w:rFonts w:eastAsia="Times New Roman" w:cstheme="minorHAnsi"/>
          <w:lang w:eastAsia="en-AU"/>
        </w:rPr>
        <w:t xml:space="preserve"> complex needs</w:t>
      </w:r>
      <w:r w:rsidRPr="00E239E6">
        <w:rPr>
          <w:rFonts w:eastAsia="Times New Roman" w:cstheme="minorHAnsi"/>
          <w:lang w:eastAsia="en-AU"/>
        </w:rPr>
        <w:t>.</w:t>
      </w:r>
    </w:p>
    <w:p w14:paraId="0493DEC5" w14:textId="77777777" w:rsidR="008A5BCE" w:rsidRDefault="008A5BCE" w:rsidP="008A5BCE">
      <w:pPr>
        <w:rPr>
          <w:rFonts w:eastAsia="Times New Roman"/>
          <w:lang w:eastAsia="en-AU"/>
        </w:rPr>
      </w:pPr>
      <w:r>
        <w:rPr>
          <w:rFonts w:eastAsia="Times New Roman"/>
          <w:lang w:eastAsia="en-AU"/>
        </w:rPr>
        <w:t>In the NDIS, m</w:t>
      </w:r>
      <w:r w:rsidRPr="002E000A">
        <w:rPr>
          <w:rFonts w:eastAsia="Times New Roman"/>
          <w:lang w:eastAsia="en-AU"/>
        </w:rPr>
        <w:t>ost transactions occur at the price ca</w:t>
      </w:r>
      <w:r>
        <w:rPr>
          <w:rFonts w:eastAsia="Times New Roman"/>
          <w:lang w:eastAsia="en-AU"/>
        </w:rPr>
        <w:t xml:space="preserve">p. Of those supports subject to a price cap, 82% of the total value for supports between March 2022 and March 2023 were charged </w:t>
      </w:r>
      <w:r w:rsidRPr="00455993">
        <w:rPr>
          <w:rFonts w:eastAsia="Times New Roman"/>
          <w:lang w:eastAsia="en-AU"/>
        </w:rPr>
        <w:t>at</w:t>
      </w:r>
      <w:r>
        <w:rPr>
          <w:rFonts w:eastAsia="Times New Roman"/>
          <w:lang w:eastAsia="en-AU"/>
        </w:rPr>
        <w:t xml:space="preserve"> or close to the price cap.</w:t>
      </w:r>
      <w:r>
        <w:rPr>
          <w:rStyle w:val="EndnoteReference"/>
          <w:rFonts w:eastAsia="Times New Roman"/>
          <w:lang w:eastAsia="en-AU"/>
        </w:rPr>
        <w:endnoteReference w:id="43"/>
      </w:r>
    </w:p>
    <w:p w14:paraId="37D5D78D" w14:textId="77777777" w:rsidR="008A5BCE" w:rsidRPr="005B5848" w:rsidRDefault="008A5BCE" w:rsidP="008A5BCE">
      <w:r>
        <w:rPr>
          <w:rFonts w:eastAsia="Times New Roman"/>
          <w:lang w:eastAsia="en-AU"/>
        </w:rPr>
        <w:t>Price caps appear to be acting more as a ‘price anchor</w:t>
      </w:r>
      <w:r w:rsidRPr="00F43617">
        <w:rPr>
          <w:rFonts w:eastAsia="Times New Roman"/>
          <w:lang w:eastAsia="en-AU"/>
        </w:rPr>
        <w:t>’ than a ‘price ceiling’</w:t>
      </w:r>
      <w:r>
        <w:rPr>
          <w:rFonts w:eastAsia="Times New Roman"/>
          <w:lang w:eastAsia="en-AU"/>
        </w:rPr>
        <w:t>.</w:t>
      </w:r>
      <w:r w:rsidRPr="002E000A">
        <w:rPr>
          <w:rFonts w:eastAsia="Times New Roman"/>
          <w:lang w:eastAsia="en-AU"/>
        </w:rPr>
        <w:t xml:space="preserve"> </w:t>
      </w:r>
      <w:r>
        <w:t>A lack of price responsiveness from participants (</w:t>
      </w:r>
      <w:r w:rsidRPr="002D2B43">
        <w:rPr>
          <w:i/>
        </w:rPr>
        <w:t>Section 1</w:t>
      </w:r>
      <w:r>
        <w:t xml:space="preserve">) may be a contributing factor. </w:t>
      </w:r>
      <w:r w:rsidRPr="005B5848">
        <w:t>In the NDIA’s 2020-21 Finan</w:t>
      </w:r>
      <w:r>
        <w:t>cial Benchmarking Survey, over four in five</w:t>
      </w:r>
      <w:r w:rsidRPr="005B5848">
        <w:t xml:space="preserve"> providers</w:t>
      </w:r>
      <w:r>
        <w:t xml:space="preserve"> (83</w:t>
      </w:r>
      <w:r>
        <w:rPr>
          <w:rFonts w:eastAsia="Times New Roman"/>
          <w:lang w:eastAsia="en-AU"/>
        </w:rPr>
        <w:t>%</w:t>
      </w:r>
      <w:r>
        <w:t>) r</w:t>
      </w:r>
      <w:r w:rsidRPr="005B5848">
        <w:t xml:space="preserve">eported always </w:t>
      </w:r>
      <w:r w:rsidRPr="005B5848" w:rsidDel="00FB0DA1">
        <w:t xml:space="preserve">setting </w:t>
      </w:r>
      <w:r w:rsidRPr="005B5848">
        <w:t>prices at the price cap</w:t>
      </w:r>
      <w:r>
        <w:t>. A small share of providers (16</w:t>
      </w:r>
      <w:r>
        <w:rPr>
          <w:rFonts w:eastAsia="Times New Roman"/>
          <w:lang w:eastAsia="en-AU"/>
        </w:rPr>
        <w:t>%</w:t>
      </w:r>
      <w:r>
        <w:t xml:space="preserve">) said that they ‘sometimes’ </w:t>
      </w:r>
      <w:r w:rsidDel="00FB0DA1">
        <w:t>set</w:t>
      </w:r>
      <w:r>
        <w:t xml:space="preserve"> prices below the price limit. The top reasons for doing so included: participants’ budgets having limited funds and needing to be reviewed; and providers wanting to remain competitive.</w:t>
      </w:r>
    </w:p>
    <w:p w14:paraId="21BB079A" w14:textId="77777777" w:rsidR="008A5BCE" w:rsidRDefault="008A5BCE" w:rsidP="008A5BCE">
      <w:pPr>
        <w:rPr>
          <w:rFonts w:eastAsia="Times New Roman"/>
          <w:lang w:eastAsia="en-AU"/>
        </w:rPr>
      </w:pPr>
      <w:r w:rsidRPr="002E000A">
        <w:t>Other jurisdictions have had similar experiences of price caps anchoring prices to a fixed point that reduces price dispersion.</w:t>
      </w:r>
      <w:r w:rsidRPr="3DFFC190">
        <w:rPr>
          <w:rStyle w:val="EndnoteReference"/>
        </w:rPr>
        <w:endnoteReference w:id="44"/>
      </w:r>
    </w:p>
    <w:p w14:paraId="1F1F6E72" w14:textId="77777777" w:rsidR="008A5BCE" w:rsidRPr="00632EC3" w:rsidRDefault="008A5BCE" w:rsidP="008A5BCE">
      <w:pPr>
        <w:pStyle w:val="Heading3"/>
      </w:pPr>
      <w:r>
        <w:lastRenderedPageBreak/>
        <w:t xml:space="preserve">Price caps can have unintended consequences </w:t>
      </w:r>
    </w:p>
    <w:p w14:paraId="13DCDA8B" w14:textId="77777777" w:rsidR="008A5BCE" w:rsidRDefault="00036C37" w:rsidP="008A5BCE">
      <w:pPr>
        <w:pStyle w:val="Quote"/>
        <w:keepNext/>
        <w:keepLines/>
        <w:rPr>
          <w:rFonts w:eastAsia="Times New Roman" w:cstheme="minorHAnsi"/>
          <w:lang w:eastAsia="en-AU"/>
        </w:rPr>
      </w:pPr>
      <w:r>
        <w:rPr>
          <w:rFonts w:eastAsia="Times New Roman" w:cstheme="minorHAnsi"/>
          <w:lang w:eastAsia="en-AU"/>
        </w:rPr>
        <w:t>‘</w:t>
      </w:r>
      <w:r w:rsidR="008A5BCE" w:rsidRPr="00E239E6">
        <w:rPr>
          <w:rFonts w:eastAsia="Times New Roman" w:cstheme="minorHAnsi"/>
          <w:lang w:eastAsia="en-AU"/>
        </w:rPr>
        <w:t xml:space="preserve">The current pricing model used by the NDIS is flawed </w:t>
      </w:r>
      <w:r w:rsidR="008A5BCE">
        <w:rPr>
          <w:rFonts w:eastAsia="Times New Roman" w:cstheme="minorHAnsi"/>
          <w:lang w:eastAsia="en-AU"/>
        </w:rPr>
        <w:t>…</w:t>
      </w:r>
      <w:r w:rsidR="008A5BCE" w:rsidRPr="00E239E6">
        <w:rPr>
          <w:rFonts w:eastAsia="Times New Roman" w:cstheme="minorHAnsi"/>
          <w:lang w:eastAsia="en-AU"/>
        </w:rPr>
        <w:t xml:space="preserve"> </w:t>
      </w:r>
      <w:r w:rsidR="008A5BCE" w:rsidRPr="008A5BCE">
        <w:rPr>
          <w:rFonts w:eastAsia="Times New Roman" w:cstheme="minorHAnsi"/>
          <w:b/>
          <w:color w:val="8F578F" w:themeColor="text2" w:themeShade="BF"/>
          <w:lang w:eastAsia="en-AU"/>
        </w:rPr>
        <w:t>This approach creates incentives for providers to cut costs rather than improve quality, leading to homogeneity rather than innovation and poorer outcomes for people with disabilities</w:t>
      </w:r>
      <w:r w:rsidR="008A5BCE" w:rsidRPr="008A5BCE">
        <w:rPr>
          <w:rFonts w:eastAsia="Times New Roman" w:cstheme="minorHAnsi"/>
          <w:lang w:eastAsia="en-AU"/>
        </w:rPr>
        <w:t>.</w:t>
      </w:r>
      <w:r w:rsidR="008A5BCE" w:rsidRPr="00195292">
        <w:rPr>
          <w:rFonts w:eastAsia="Times New Roman" w:cstheme="minorHAnsi"/>
          <w:lang w:eastAsia="en-AU"/>
        </w:rPr>
        <w:t xml:space="preserve"> In the long run, this approach is not only harmful to those who need high quality services, but also uns</w:t>
      </w:r>
      <w:r>
        <w:rPr>
          <w:rFonts w:eastAsia="Times New Roman" w:cstheme="minorHAnsi"/>
          <w:lang w:eastAsia="en-AU"/>
        </w:rPr>
        <w:t>ustainable for the NDIS itself.’</w:t>
      </w:r>
    </w:p>
    <w:p w14:paraId="1AB8B2C8" w14:textId="77777777" w:rsidR="008A5BCE" w:rsidRPr="009E3D43" w:rsidRDefault="008A5BCE" w:rsidP="008A5BCE">
      <w:pPr>
        <w:pStyle w:val="Quote"/>
        <w:rPr>
          <w:rFonts w:eastAsia="Times New Roman"/>
          <w:lang w:eastAsia="en-AU"/>
        </w:rPr>
      </w:pPr>
      <w:r>
        <w:rPr>
          <w:rFonts w:eastAsia="Times New Roman"/>
          <w:lang w:eastAsia="en-AU"/>
        </w:rPr>
        <w:t xml:space="preserve"> </w:t>
      </w:r>
      <w:r w:rsidRPr="006464C6">
        <w:rPr>
          <w:rFonts w:eastAsia="Times New Roman"/>
          <w:lang w:eastAsia="en-AU"/>
        </w:rPr>
        <w:t xml:space="preserve">– Aaron, </w:t>
      </w:r>
      <w:r w:rsidRPr="008A5BCE">
        <w:t>NDIS</w:t>
      </w:r>
      <w:r w:rsidRPr="006464C6">
        <w:rPr>
          <w:rFonts w:eastAsia="Times New Roman"/>
          <w:lang w:eastAsia="en-AU"/>
        </w:rPr>
        <w:t xml:space="preserve"> Provider</w:t>
      </w:r>
      <w:r>
        <w:rPr>
          <w:rStyle w:val="EndnoteReference"/>
          <w:rFonts w:eastAsia="Times New Roman" w:cstheme="minorHAnsi"/>
          <w:i w:val="0"/>
          <w:lang w:eastAsia="en-AU"/>
        </w:rPr>
        <w:endnoteReference w:id="45"/>
      </w:r>
      <w:r>
        <w:rPr>
          <w:rFonts w:eastAsia="Times New Roman"/>
          <w:lang w:eastAsia="en-AU"/>
        </w:rPr>
        <w:t xml:space="preserve"> </w:t>
      </w:r>
    </w:p>
    <w:p w14:paraId="3AAF638B" w14:textId="77777777" w:rsidR="008A5BCE" w:rsidRDefault="008A5BCE" w:rsidP="008A5BCE">
      <w:pPr>
        <w:rPr>
          <w:rFonts w:eastAsia="Times New Roman" w:cstheme="minorHAnsi"/>
          <w:lang w:eastAsia="en-AU"/>
        </w:rPr>
      </w:pPr>
      <w:r>
        <w:rPr>
          <w:rFonts w:eastAsia="Times New Roman" w:cstheme="minorHAnsi"/>
          <w:lang w:eastAsia="en-AU"/>
        </w:rPr>
        <w:t>The c</w:t>
      </w:r>
      <w:r w:rsidRPr="00E239E6">
        <w:rPr>
          <w:rFonts w:eastAsia="Times New Roman" w:cstheme="minorHAnsi"/>
          <w:lang w:eastAsia="en-AU"/>
        </w:rPr>
        <w:t>urrent price caps can</w:t>
      </w:r>
      <w:r>
        <w:rPr>
          <w:rFonts w:eastAsia="Times New Roman" w:cstheme="minorHAnsi"/>
          <w:lang w:eastAsia="en-AU"/>
        </w:rPr>
        <w:t xml:space="preserve"> also lead to ‘cream skimming’</w:t>
      </w:r>
      <w:r w:rsidRPr="00E239E6">
        <w:rPr>
          <w:rFonts w:eastAsia="Times New Roman" w:cstheme="minorHAnsi"/>
          <w:lang w:eastAsia="en-AU"/>
        </w:rPr>
        <w:t xml:space="preserve"> where providers only take </w:t>
      </w:r>
      <w:r>
        <w:rPr>
          <w:rFonts w:eastAsia="Times New Roman" w:cstheme="minorHAnsi"/>
          <w:lang w:eastAsia="en-AU"/>
        </w:rPr>
        <w:t xml:space="preserve">on </w:t>
      </w:r>
      <w:r w:rsidRPr="00E239E6">
        <w:rPr>
          <w:rFonts w:eastAsia="Times New Roman" w:cstheme="minorHAnsi"/>
          <w:lang w:eastAsia="en-AU"/>
        </w:rPr>
        <w:t xml:space="preserve">participants </w:t>
      </w:r>
      <w:r>
        <w:rPr>
          <w:rFonts w:eastAsia="Times New Roman" w:cstheme="minorHAnsi"/>
          <w:lang w:eastAsia="en-AU"/>
        </w:rPr>
        <w:t xml:space="preserve">who present the </w:t>
      </w:r>
      <w:r w:rsidRPr="00E239E6">
        <w:rPr>
          <w:rFonts w:eastAsia="Times New Roman" w:cstheme="minorHAnsi"/>
          <w:lang w:eastAsia="en-AU"/>
        </w:rPr>
        <w:t xml:space="preserve">‘highest profit margin’. </w:t>
      </w:r>
      <w:r>
        <w:rPr>
          <w:rFonts w:eastAsia="Times New Roman" w:cstheme="minorHAnsi"/>
          <w:lang w:eastAsia="en-AU"/>
        </w:rPr>
        <w:t xml:space="preserve">In this way, </w:t>
      </w:r>
      <w:r w:rsidRPr="00AB6B3C">
        <w:rPr>
          <w:rFonts w:eastAsia="Times New Roman" w:cstheme="minorHAnsi"/>
          <w:lang w:eastAsia="en-AU"/>
        </w:rPr>
        <w:t xml:space="preserve">price caps can create unintended service gaps where they do not take into account differences in </w:t>
      </w:r>
      <w:r>
        <w:rPr>
          <w:rFonts w:eastAsia="Times New Roman" w:cstheme="minorHAnsi"/>
          <w:lang w:eastAsia="en-AU"/>
        </w:rPr>
        <w:t xml:space="preserve">the </w:t>
      </w:r>
      <w:r w:rsidRPr="00AB6B3C">
        <w:rPr>
          <w:rFonts w:eastAsia="Times New Roman" w:cstheme="minorHAnsi"/>
          <w:lang w:eastAsia="en-AU"/>
        </w:rPr>
        <w:t>‘market’ price at which provider</w:t>
      </w:r>
      <w:r>
        <w:rPr>
          <w:rFonts w:eastAsia="Times New Roman" w:cstheme="minorHAnsi"/>
          <w:lang w:eastAsia="en-AU"/>
        </w:rPr>
        <w:t>s</w:t>
      </w:r>
      <w:r w:rsidRPr="00AB6B3C">
        <w:rPr>
          <w:rFonts w:eastAsia="Times New Roman" w:cstheme="minorHAnsi"/>
          <w:lang w:eastAsia="en-AU"/>
        </w:rPr>
        <w:t xml:space="preserve"> are willing to supply services</w:t>
      </w:r>
      <w:r>
        <w:rPr>
          <w:rFonts w:eastAsia="Times New Roman" w:cstheme="minorHAnsi"/>
          <w:lang w:eastAsia="en-AU"/>
        </w:rPr>
        <w:t xml:space="preserve"> (</w:t>
      </w:r>
      <w:r w:rsidRPr="002B73F7">
        <w:rPr>
          <w:rFonts w:eastAsia="Times New Roman" w:cstheme="minorHAnsi"/>
          <w:i/>
          <w:lang w:eastAsia="en-AU"/>
        </w:rPr>
        <w:t>Figure 11</w:t>
      </w:r>
      <w:r>
        <w:rPr>
          <w:rFonts w:eastAsia="Times New Roman" w:cstheme="minorHAnsi"/>
          <w:lang w:eastAsia="en-AU"/>
        </w:rPr>
        <w:t>).</w:t>
      </w:r>
      <w:r w:rsidRPr="00AB6B3C">
        <w:rPr>
          <w:rFonts w:eastAsia="Times New Roman" w:cstheme="minorHAnsi"/>
          <w:lang w:eastAsia="en-AU"/>
        </w:rPr>
        <w:t xml:space="preserve"> </w:t>
      </w:r>
      <w:r>
        <w:rPr>
          <w:rFonts w:eastAsia="Times New Roman" w:cstheme="minorHAnsi"/>
          <w:lang w:eastAsia="en-AU"/>
        </w:rPr>
        <w:t>There are reports that some p</w:t>
      </w:r>
      <w:r w:rsidRPr="00AB6B3C">
        <w:rPr>
          <w:rFonts w:eastAsia="Times New Roman" w:cstheme="minorHAnsi"/>
          <w:lang w:eastAsia="en-AU"/>
        </w:rPr>
        <w:t>articipants with complex needs</w:t>
      </w:r>
      <w:r>
        <w:rPr>
          <w:rFonts w:eastAsia="Times New Roman" w:cstheme="minorHAnsi"/>
          <w:lang w:eastAsia="en-AU"/>
        </w:rPr>
        <w:t xml:space="preserve"> are having difficulty accessing supports.</w:t>
      </w:r>
      <w:r w:rsidR="00563CA1">
        <w:rPr>
          <w:rFonts w:eastAsia="Times New Roman" w:cstheme="minorHAnsi"/>
          <w:lang w:eastAsia="en-AU"/>
        </w:rPr>
        <w:br w:type="page"/>
      </w:r>
    </w:p>
    <w:p w14:paraId="758AB0DF" w14:textId="77777777" w:rsidR="008A5BCE" w:rsidRDefault="008A5BCE" w:rsidP="00C53CA3">
      <w:pPr>
        <w:pStyle w:val="Figure"/>
      </w:pPr>
      <w:bookmarkStart w:id="263" w:name="Fig11"/>
      <w:bookmarkEnd w:id="263"/>
      <w:r w:rsidRPr="00CB1BCB">
        <w:lastRenderedPageBreak/>
        <w:t>A highly stylised example of a single loading for complexity</w:t>
      </w:r>
    </w:p>
    <w:p w14:paraId="64B051FF" w14:textId="77777777" w:rsidR="008A5BCE" w:rsidRDefault="008A5BCE" w:rsidP="008A5BCE">
      <w:r w:rsidRPr="008A5BCE">
        <w:rPr>
          <w:noProof/>
          <w:lang w:eastAsia="en-AU"/>
        </w:rPr>
        <w:drawing>
          <wp:inline distT="0" distB="0" distL="0" distR="0" wp14:anchorId="54F011FB" wp14:editId="18EEA2C0">
            <wp:extent cx="6120130" cy="3704289"/>
            <wp:effectExtent l="0" t="0" r="0" b="0"/>
            <wp:docPr id="14" name="Picture 14" descr="Graph that illustrates the effect of a single price loading for complexity - If the cost of service delivery increases with the level of complexity, a single loading for complexity can lead to the price caps being below the true cost of providing supports for participants with more complex nee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20130" cy="3704289"/>
                    </a:xfrm>
                    <a:prstGeom prst="rect">
                      <a:avLst/>
                    </a:prstGeom>
                    <a:noFill/>
                    <a:ln>
                      <a:noFill/>
                    </a:ln>
                  </pic:spPr>
                </pic:pic>
              </a:graphicData>
            </a:graphic>
          </wp:inline>
        </w:drawing>
      </w:r>
    </w:p>
    <w:p w14:paraId="5B468E8F" w14:textId="77777777" w:rsidR="008A5BCE" w:rsidRDefault="00CB1BCB" w:rsidP="008A5BCE">
      <w:pPr>
        <w:pStyle w:val="Quote"/>
        <w:keepNext/>
        <w:keepLines/>
        <w:rPr>
          <w:rFonts w:cstheme="minorHAnsi"/>
        </w:rPr>
      </w:pPr>
      <w:r>
        <w:rPr>
          <w:rFonts w:cstheme="minorHAnsi"/>
        </w:rPr>
        <w:t xml:space="preserve"> </w:t>
      </w:r>
      <w:r w:rsidR="008A5BCE">
        <w:rPr>
          <w:rFonts w:cstheme="minorHAnsi"/>
        </w:rPr>
        <w:t>‘</w:t>
      </w:r>
      <w:r w:rsidR="008A5BCE" w:rsidRPr="00DE04FA">
        <w:rPr>
          <w:rFonts w:cstheme="minorHAnsi"/>
        </w:rPr>
        <w:t>The committee h</w:t>
      </w:r>
      <w:r w:rsidR="008A5BCE">
        <w:rPr>
          <w:rFonts w:cstheme="minorHAnsi"/>
        </w:rPr>
        <w:t>as heard on many occasions that the</w:t>
      </w:r>
      <w:r w:rsidR="008A5BCE" w:rsidRPr="00E239E6">
        <w:rPr>
          <w:rFonts w:cstheme="minorHAnsi"/>
        </w:rPr>
        <w:t xml:space="preserve"> </w:t>
      </w:r>
      <w:r w:rsidR="008A5BCE" w:rsidRPr="008A5BCE">
        <w:rPr>
          <w:rFonts w:cstheme="minorHAnsi"/>
          <w:b/>
          <w:color w:val="8F578F" w:themeColor="text2" w:themeShade="BF"/>
        </w:rPr>
        <w:t xml:space="preserve">NDIS pricing framework is not working for participants with high and complex needs. … </w:t>
      </w:r>
      <w:r w:rsidR="008A5BCE" w:rsidRPr="0026667B">
        <w:rPr>
          <w:rFonts w:cstheme="minorHAnsi"/>
        </w:rPr>
        <w:t>I</w:t>
      </w:r>
      <w:r w:rsidR="008A5BCE" w:rsidRPr="00BF5493">
        <w:rPr>
          <w:rFonts w:cstheme="minorHAnsi"/>
        </w:rPr>
        <w:t>ndeed, the committee has heard evidence that</w:t>
      </w:r>
      <w:r w:rsidR="008A5BCE">
        <w:rPr>
          <w:rFonts w:ascii="Helvetica" w:hAnsi="Helvetica"/>
          <w:color w:val="222222"/>
          <w:sz w:val="23"/>
          <w:szCs w:val="23"/>
          <w:shd w:val="clear" w:color="auto" w:fill="FFFFFF"/>
        </w:rPr>
        <w:t xml:space="preserve"> </w:t>
      </w:r>
      <w:r w:rsidR="008A5BCE" w:rsidRPr="008A5BCE">
        <w:rPr>
          <w:rFonts w:cstheme="minorHAnsi"/>
          <w:b/>
          <w:color w:val="8F578F" w:themeColor="text2" w:themeShade="BF"/>
        </w:rPr>
        <w:t>some service providers are 'cherry picking' clients and potentially leaving some of the most vulnerable NDIS participants with no access to adequate services</w:t>
      </w:r>
      <w:r w:rsidR="008A5BCE">
        <w:rPr>
          <w:rFonts w:cstheme="minorHAnsi"/>
        </w:rPr>
        <w:t>.’</w:t>
      </w:r>
    </w:p>
    <w:p w14:paraId="3CD7E582" w14:textId="77777777" w:rsidR="008A5BCE" w:rsidRDefault="00036C37" w:rsidP="00036C37">
      <w:pPr>
        <w:pStyle w:val="Quote"/>
      </w:pPr>
      <w:r w:rsidRPr="002877C5">
        <w:t xml:space="preserve">– </w:t>
      </w:r>
      <w:r w:rsidR="008A5BCE" w:rsidRPr="006464C6">
        <w:t>Joint Standing Committee on the NDIS</w:t>
      </w:r>
      <w:r w:rsidR="008A5BCE">
        <w:t xml:space="preserve"> (NDIS JSC)</w:t>
      </w:r>
      <w:r w:rsidR="008A5BCE" w:rsidRPr="006464C6">
        <w:t>,</w:t>
      </w:r>
      <w:r>
        <w:t xml:space="preserve"> </w:t>
      </w:r>
      <w:r w:rsidR="008A5BCE">
        <w:t>Inquiry into Market </w:t>
      </w:r>
      <w:r w:rsidR="008A5BCE" w:rsidRPr="006464C6">
        <w:t>Readiness</w:t>
      </w:r>
      <w:r w:rsidR="008A5BCE">
        <w:rPr>
          <w:rStyle w:val="EndnoteReference"/>
          <w:rFonts w:cstheme="minorHAnsi"/>
          <w:i w:val="0"/>
        </w:rPr>
        <w:endnoteReference w:id="46"/>
      </w:r>
    </w:p>
    <w:p w14:paraId="418C72BC" w14:textId="77777777" w:rsidR="008A5BCE" w:rsidRPr="008D7E4E" w:rsidRDefault="008A5BCE" w:rsidP="008A5BCE">
      <w:pPr>
        <w:rPr>
          <w:rFonts w:eastAsia="Times New Roman"/>
          <w:lang w:eastAsia="en-AU"/>
        </w:rPr>
      </w:pPr>
      <w:r w:rsidRPr="3DFFC190">
        <w:rPr>
          <w:rFonts w:eastAsia="Times New Roman"/>
          <w:lang w:eastAsia="en-AU"/>
        </w:rPr>
        <w:t>Price-caps for plan</w:t>
      </w:r>
      <w:r>
        <w:rPr>
          <w:rFonts w:eastAsia="Times New Roman"/>
          <w:lang w:eastAsia="en-AU"/>
        </w:rPr>
        <w:t>-</w:t>
      </w:r>
      <w:r w:rsidRPr="3DFFC190">
        <w:rPr>
          <w:rFonts w:eastAsia="Times New Roman"/>
          <w:lang w:eastAsia="en-AU"/>
        </w:rPr>
        <w:t xml:space="preserve"> and agency-managed participants may </w:t>
      </w:r>
      <w:r>
        <w:rPr>
          <w:rFonts w:eastAsia="Times New Roman"/>
          <w:lang w:eastAsia="en-AU"/>
        </w:rPr>
        <w:t xml:space="preserve">also </w:t>
      </w:r>
      <w:r w:rsidRPr="3DFFC190">
        <w:rPr>
          <w:rFonts w:eastAsia="Times New Roman"/>
          <w:lang w:eastAsia="en-AU"/>
        </w:rPr>
        <w:t>provide an incentive for participants</w:t>
      </w:r>
      <w:r>
        <w:rPr>
          <w:rFonts w:eastAsia="Times New Roman"/>
          <w:lang w:eastAsia="en-AU"/>
        </w:rPr>
        <w:t xml:space="preserve"> to</w:t>
      </w:r>
      <w:r w:rsidRPr="008D7E4E">
        <w:rPr>
          <w:rFonts w:eastAsia="Times New Roman"/>
          <w:lang w:eastAsia="en-AU"/>
        </w:rPr>
        <w:t xml:space="preserve"> </w:t>
      </w:r>
      <w:r w:rsidRPr="008D7E4E">
        <w:rPr>
          <w:rFonts w:eastAsia="Times New Roman"/>
          <w:bCs/>
          <w:lang w:eastAsia="en-AU"/>
        </w:rPr>
        <w:t>shift to self-management</w:t>
      </w:r>
      <w:r w:rsidRPr="008D7E4E">
        <w:rPr>
          <w:rFonts w:eastAsia="Times New Roman"/>
          <w:lang w:eastAsia="en-AU"/>
        </w:rPr>
        <w:t xml:space="preserve"> when they would not otherwise do so, effectively </w:t>
      </w:r>
      <w:r>
        <w:rPr>
          <w:rFonts w:eastAsia="Times New Roman"/>
          <w:lang w:eastAsia="en-AU"/>
        </w:rPr>
        <w:t>‘</w:t>
      </w:r>
      <w:r w:rsidRPr="008D7E4E">
        <w:rPr>
          <w:rFonts w:eastAsia="Times New Roman"/>
          <w:lang w:eastAsia="en-AU"/>
        </w:rPr>
        <w:t>side-stepping</w:t>
      </w:r>
      <w:r>
        <w:rPr>
          <w:rFonts w:eastAsia="Times New Roman"/>
          <w:lang w:eastAsia="en-AU"/>
        </w:rPr>
        <w:t>’</w:t>
      </w:r>
      <w:r w:rsidRPr="008D7E4E">
        <w:rPr>
          <w:rFonts w:eastAsia="Times New Roman"/>
          <w:lang w:eastAsia="en-AU"/>
        </w:rPr>
        <w:t xml:space="preserve"> price </w:t>
      </w:r>
      <w:r>
        <w:rPr>
          <w:rFonts w:eastAsia="Times New Roman"/>
          <w:lang w:eastAsia="en-AU"/>
        </w:rPr>
        <w:t>caps</w:t>
      </w:r>
      <w:r w:rsidRPr="008D7E4E">
        <w:rPr>
          <w:rFonts w:eastAsia="Times New Roman"/>
          <w:lang w:eastAsia="en-AU"/>
        </w:rPr>
        <w:t>.</w:t>
      </w:r>
    </w:p>
    <w:p w14:paraId="441A6D37" w14:textId="77777777" w:rsidR="008A5BCE" w:rsidRDefault="008A5BCE" w:rsidP="008A5BCE">
      <w:pPr>
        <w:rPr>
          <w:rFonts w:eastAsia="Times New Roman" w:cstheme="minorHAnsi"/>
          <w:lang w:eastAsia="en-AU"/>
        </w:rPr>
      </w:pPr>
      <w:r w:rsidRPr="008D7E4E">
        <w:rPr>
          <w:rFonts w:eastAsia="Times New Roman" w:cstheme="minorHAnsi"/>
          <w:lang w:eastAsia="en-AU"/>
        </w:rPr>
        <w:t xml:space="preserve">On this same basis, </w:t>
      </w:r>
      <w:r>
        <w:rPr>
          <w:rFonts w:eastAsia="Times New Roman" w:cstheme="minorHAnsi"/>
          <w:lang w:eastAsia="en-AU"/>
        </w:rPr>
        <w:t>without competitive market pressure, price caps may create a</w:t>
      </w:r>
      <w:r w:rsidRPr="008D7E4E">
        <w:rPr>
          <w:rFonts w:eastAsia="Times New Roman" w:cstheme="minorHAnsi"/>
          <w:lang w:eastAsia="en-AU"/>
        </w:rPr>
        <w:t xml:space="preserve"> disincentive for providers to register</w:t>
      </w:r>
      <w:r>
        <w:rPr>
          <w:rFonts w:eastAsia="Times New Roman" w:cstheme="minorHAnsi"/>
          <w:lang w:eastAsia="en-AU"/>
        </w:rPr>
        <w:t xml:space="preserve">. </w:t>
      </w:r>
      <w:r w:rsidRPr="006E110F">
        <w:rPr>
          <w:rFonts w:eastAsia="Times New Roman" w:cstheme="minorHAnsi"/>
          <w:lang w:eastAsia="en-AU"/>
        </w:rPr>
        <w:t xml:space="preserve">In its submission to the NDIS Review, the </w:t>
      </w:r>
      <w:r w:rsidRPr="006E110F">
        <w:rPr>
          <w:rFonts w:eastAsia="Times New Roman" w:cstheme="minorHAnsi"/>
          <w:lang w:eastAsia="en-AU"/>
        </w:rPr>
        <w:lastRenderedPageBreak/>
        <w:t>platform provider Hi</w:t>
      </w:r>
      <w:r w:rsidR="00036C37">
        <w:rPr>
          <w:rFonts w:eastAsia="Times New Roman" w:cstheme="minorHAnsi"/>
          <w:lang w:eastAsia="en-AU"/>
        </w:rPr>
        <w:t>reup argued there is a need to ‘</w:t>
      </w:r>
      <w:r w:rsidDel="00181998">
        <w:rPr>
          <w:rFonts w:eastAsia="Times New Roman" w:cstheme="minorHAnsi"/>
          <w:lang w:eastAsia="en-AU"/>
        </w:rPr>
        <w:t>… </w:t>
      </w:r>
      <w:r w:rsidRPr="006E110F">
        <w:rPr>
          <w:rFonts w:eastAsia="Times New Roman" w:cstheme="minorHAnsi"/>
          <w:lang w:eastAsia="en-AU"/>
        </w:rPr>
        <w:t>remove the significant financial incentives that are driving up the prevalence of inexperienced independent contractors who are attracted to the sector based only on massive hourly rates, and beyond the reach of proper protections fro</w:t>
      </w:r>
      <w:r w:rsidR="00036C37">
        <w:rPr>
          <w:rFonts w:eastAsia="Times New Roman" w:cstheme="minorHAnsi"/>
          <w:lang w:eastAsia="en-AU"/>
        </w:rPr>
        <w:t>m the regulator or an employer.’</w:t>
      </w:r>
      <w:r w:rsidRPr="006E110F">
        <w:rPr>
          <w:rStyle w:val="EndnoteReference"/>
          <w:rFonts w:eastAsia="Times New Roman" w:cstheme="minorHAnsi"/>
          <w:lang w:eastAsia="en-AU"/>
        </w:rPr>
        <w:endnoteReference w:id="47"/>
      </w:r>
      <w:r w:rsidRPr="006E110F">
        <w:rPr>
          <w:rFonts w:eastAsia="Times New Roman" w:cstheme="minorHAnsi"/>
          <w:lang w:eastAsia="en-AU"/>
        </w:rPr>
        <w:t xml:space="preserve"> </w:t>
      </w:r>
    </w:p>
    <w:p w14:paraId="44DCA56E" w14:textId="77777777" w:rsidR="008A5BCE" w:rsidRDefault="008A5BCE" w:rsidP="008A5BCE">
      <w:pPr>
        <w:rPr>
          <w:rFonts w:eastAsia="Times New Roman" w:cstheme="minorHAnsi"/>
          <w:lang w:eastAsia="en-AU"/>
        </w:rPr>
      </w:pPr>
      <w:r w:rsidRPr="00EE6F55">
        <w:rPr>
          <w:rFonts w:eastAsia="Times New Roman" w:cstheme="minorHAnsi"/>
          <w:lang w:eastAsia="en-AU"/>
        </w:rPr>
        <w:t xml:space="preserve">Another challenge arising from price caps acting more as a price anchor is that the </w:t>
      </w:r>
      <w:r>
        <w:rPr>
          <w:rFonts w:eastAsia="Times New Roman" w:cstheme="minorHAnsi"/>
          <w:lang w:eastAsia="en-AU"/>
        </w:rPr>
        <w:t>same corporate</w:t>
      </w:r>
      <w:r w:rsidRPr="00EE6F55">
        <w:rPr>
          <w:rFonts w:eastAsia="Times New Roman" w:cstheme="minorHAnsi"/>
          <w:lang w:eastAsia="en-AU"/>
        </w:rPr>
        <w:t xml:space="preserve"> </w:t>
      </w:r>
      <w:r>
        <w:rPr>
          <w:rFonts w:eastAsia="Times New Roman" w:cstheme="minorHAnsi"/>
          <w:lang w:eastAsia="en-AU"/>
        </w:rPr>
        <w:t xml:space="preserve">overheads and supervisory costs are </w:t>
      </w:r>
      <w:r w:rsidRPr="00EE6F55">
        <w:rPr>
          <w:rFonts w:eastAsia="Times New Roman" w:cstheme="minorHAnsi"/>
          <w:lang w:eastAsia="en-AU"/>
        </w:rPr>
        <w:t xml:space="preserve">built into the price caps </w:t>
      </w:r>
      <w:r>
        <w:rPr>
          <w:rFonts w:eastAsia="Times New Roman" w:cstheme="minorHAnsi"/>
          <w:lang w:eastAsia="en-AU"/>
        </w:rPr>
        <w:t xml:space="preserve">irrespective of </w:t>
      </w:r>
      <w:r w:rsidRPr="00EE6F55">
        <w:rPr>
          <w:rFonts w:eastAsia="Times New Roman" w:cstheme="minorHAnsi"/>
          <w:lang w:eastAsia="en-AU"/>
        </w:rPr>
        <w:t xml:space="preserve">the </w:t>
      </w:r>
      <w:r>
        <w:rPr>
          <w:rFonts w:eastAsia="Times New Roman" w:cstheme="minorHAnsi"/>
          <w:lang w:eastAsia="en-AU"/>
        </w:rPr>
        <w:t>delivery approach</w:t>
      </w:r>
      <w:r w:rsidRPr="00EE6F55">
        <w:rPr>
          <w:rFonts w:eastAsia="Times New Roman" w:cstheme="minorHAnsi"/>
          <w:lang w:eastAsia="en-AU"/>
        </w:rPr>
        <w:t>.</w:t>
      </w:r>
      <w:r>
        <w:rPr>
          <w:rFonts w:eastAsia="Times New Roman" w:cstheme="minorHAnsi"/>
          <w:lang w:eastAsia="en-AU"/>
        </w:rPr>
        <w:t xml:space="preserve"> </w:t>
      </w:r>
      <w:r w:rsidRPr="006E110F">
        <w:rPr>
          <w:rFonts w:eastAsia="Times New Roman" w:cstheme="minorHAnsi"/>
          <w:lang w:eastAsia="en-AU"/>
        </w:rPr>
        <w:t>Hireup recommended that NDI</w:t>
      </w:r>
      <w:r>
        <w:rPr>
          <w:rFonts w:eastAsia="Times New Roman" w:cstheme="minorHAnsi"/>
          <w:lang w:eastAsia="en-AU"/>
        </w:rPr>
        <w:t>S</w:t>
      </w:r>
      <w:r w:rsidR="00036C37">
        <w:rPr>
          <w:rFonts w:eastAsia="Times New Roman" w:cstheme="minorHAnsi"/>
          <w:lang w:eastAsia="en-AU"/>
        </w:rPr>
        <w:t xml:space="preserve"> pricing arrangements be ‘</w:t>
      </w:r>
      <w:r w:rsidDel="00181998">
        <w:rPr>
          <w:rFonts w:eastAsia="Times New Roman" w:cstheme="minorHAnsi"/>
          <w:lang w:eastAsia="en-AU"/>
        </w:rPr>
        <w:t>… </w:t>
      </w:r>
      <w:r w:rsidRPr="006E110F">
        <w:rPr>
          <w:rFonts w:eastAsia="Times New Roman" w:cstheme="minorHAnsi"/>
          <w:lang w:eastAsia="en-AU"/>
        </w:rPr>
        <w:t xml:space="preserve">adjusted to create differentiation between providers with different degrees of overheads due to extra costs </w:t>
      </w:r>
      <w:r w:rsidR="00036C37">
        <w:rPr>
          <w:rFonts w:eastAsia="Times New Roman" w:cstheme="minorHAnsi"/>
          <w:lang w:eastAsia="en-AU"/>
        </w:rPr>
        <w:t>of employment and registration.’</w:t>
      </w:r>
      <w:r w:rsidRPr="006E110F">
        <w:rPr>
          <w:rStyle w:val="EndnoteReference"/>
          <w:rFonts w:eastAsia="Times New Roman" w:cstheme="minorHAnsi"/>
          <w:lang w:eastAsia="en-AU"/>
        </w:rPr>
        <w:endnoteReference w:id="48"/>
      </w:r>
      <w:r>
        <w:rPr>
          <w:rFonts w:eastAsia="Times New Roman" w:cstheme="minorHAnsi"/>
          <w:lang w:eastAsia="en-AU"/>
        </w:rPr>
        <w:t xml:space="preserve"> However,</w:t>
      </w:r>
      <w:r w:rsidRPr="00922817">
        <w:rPr>
          <w:rFonts w:eastAsia="Times New Roman"/>
          <w:lang w:eastAsia="en-AU"/>
        </w:rPr>
        <w:t xml:space="preserve"> </w:t>
      </w:r>
      <w:r>
        <w:rPr>
          <w:rFonts w:eastAsia="Times New Roman"/>
          <w:lang w:eastAsia="en-AU"/>
        </w:rPr>
        <w:t xml:space="preserve">price </w:t>
      </w:r>
      <w:r w:rsidRPr="006E110F">
        <w:rPr>
          <w:rFonts w:eastAsia="Times New Roman" w:cstheme="minorHAnsi"/>
          <w:lang w:eastAsia="en-AU"/>
        </w:rPr>
        <w:t>differentiation</w:t>
      </w:r>
      <w:r>
        <w:rPr>
          <w:rFonts w:eastAsia="Times New Roman" w:cstheme="minorHAnsi"/>
          <w:lang w:eastAsia="en-AU"/>
        </w:rPr>
        <w:t xml:space="preserve"> that is based on ‘how’ services are delivered, rather than the underlying ‘market’ rate, is likely to limit innovation in the NDIS.</w:t>
      </w:r>
      <w:r w:rsidRPr="002B3FDC">
        <w:rPr>
          <w:rFonts w:eastAsia="Times New Roman" w:cstheme="minorHAnsi"/>
          <w:lang w:eastAsia="en-AU"/>
        </w:rPr>
        <w:t xml:space="preserve"> </w:t>
      </w:r>
    </w:p>
    <w:p w14:paraId="5FC34D9E" w14:textId="77777777" w:rsidR="008A5BCE" w:rsidRDefault="008A5BCE" w:rsidP="008A5BCE">
      <w:pPr>
        <w:rPr>
          <w:rFonts w:eastAsia="Times New Roman" w:cstheme="minorHAnsi"/>
          <w:lang w:eastAsia="en-AU"/>
        </w:rPr>
      </w:pPr>
      <w:r w:rsidDel="002B3FDC">
        <w:rPr>
          <w:rFonts w:eastAsia="Times New Roman" w:cstheme="minorHAnsi"/>
          <w:lang w:eastAsia="en-AU"/>
        </w:rPr>
        <w:t>S</w:t>
      </w:r>
      <w:r w:rsidRPr="00EE6F55" w:rsidDel="002B3FDC">
        <w:t>ome providers</w:t>
      </w:r>
      <w:r w:rsidDel="002B3FDC">
        <w:t xml:space="preserve"> have also suggested </w:t>
      </w:r>
      <w:r w:rsidRPr="00EE6F55" w:rsidDel="002B3FDC">
        <w:t xml:space="preserve">that they are unable to invest in the capability of their workforce under current pricing arrangements </w:t>
      </w:r>
      <w:r w:rsidDel="002B3FDC">
        <w:t xml:space="preserve">and </w:t>
      </w:r>
      <w:r w:rsidRPr="00EE6F55" w:rsidDel="002B3FDC">
        <w:rPr>
          <w:rFonts w:eastAsia="Times New Roman"/>
          <w:lang w:eastAsia="en-AU"/>
        </w:rPr>
        <w:t>where workers can leave and set up as independent contractors or join online platforms</w:t>
      </w:r>
      <w:r w:rsidRPr="00EE6F55" w:rsidDel="002B3FDC">
        <w:t>. This exacerbates workforce retention challenges</w:t>
      </w:r>
      <w:r w:rsidRPr="00EE6F55" w:rsidDel="002B3FDC">
        <w:rPr>
          <w:rFonts w:eastAsia="Times New Roman"/>
          <w:lang w:eastAsia="en-AU"/>
        </w:rPr>
        <w:t xml:space="preserve">. </w:t>
      </w:r>
      <w:r w:rsidRPr="00493B75">
        <w:rPr>
          <w:rFonts w:eastAsia="Times New Roman" w:cstheme="minorHAnsi"/>
          <w:lang w:eastAsia="en-AU"/>
        </w:rPr>
        <w:t>Disability support workers and unions have also raised issues with worker</w:t>
      </w:r>
      <w:r w:rsidRPr="005C0B53">
        <w:rPr>
          <w:rFonts w:eastAsia="Times New Roman" w:cstheme="minorHAnsi"/>
          <w:lang w:eastAsia="en-AU"/>
        </w:rPr>
        <w:t xml:space="preserve">s not necessarily being paid wages </w:t>
      </w:r>
      <w:r>
        <w:rPr>
          <w:rFonts w:eastAsia="Times New Roman" w:cstheme="minorHAnsi"/>
          <w:lang w:eastAsia="en-AU"/>
        </w:rPr>
        <w:t>that</w:t>
      </w:r>
      <w:r w:rsidRPr="005C0B53">
        <w:rPr>
          <w:rFonts w:eastAsia="Times New Roman" w:cstheme="minorHAnsi"/>
          <w:lang w:eastAsia="en-AU"/>
        </w:rPr>
        <w:t xml:space="preserve"> reflect the complexity or difficulty of the work.</w:t>
      </w:r>
      <w:r>
        <w:rPr>
          <w:rStyle w:val="EndnoteReference"/>
          <w:rFonts w:eastAsia="Times New Roman" w:cstheme="minorHAnsi"/>
          <w:lang w:eastAsia="en-AU"/>
        </w:rPr>
        <w:endnoteReference w:id="49"/>
      </w:r>
    </w:p>
    <w:p w14:paraId="62858C60" w14:textId="77777777" w:rsidR="008A5BCE" w:rsidRPr="00117D97" w:rsidRDefault="008A5BCE" w:rsidP="008A5BCE">
      <w:pPr>
        <w:rPr>
          <w:rFonts w:eastAsia="Times New Roman"/>
          <w:lang w:eastAsia="en-AU"/>
        </w:rPr>
      </w:pPr>
      <w:r w:rsidRPr="00E0708E">
        <w:rPr>
          <w:rFonts w:eastAsia="Times New Roman" w:cstheme="minorHAnsi"/>
          <w:lang w:eastAsia="en-AU"/>
        </w:rPr>
        <w:t>These examples of the unintended consequences of price caps</w:t>
      </w:r>
      <w:r>
        <w:rPr>
          <w:rFonts w:eastAsia="Times New Roman" w:cstheme="minorHAnsi"/>
          <w:lang w:eastAsia="en-AU"/>
        </w:rPr>
        <w:t xml:space="preserve"> highlight the need for </w:t>
      </w:r>
      <w:r>
        <w:rPr>
          <w:rFonts w:eastAsia="Times New Roman"/>
          <w:lang w:eastAsia="en-AU"/>
        </w:rPr>
        <w:t xml:space="preserve">more detailed </w:t>
      </w:r>
      <w:r w:rsidRPr="00922817">
        <w:rPr>
          <w:rFonts w:eastAsia="Times New Roman"/>
          <w:lang w:eastAsia="en-AU"/>
        </w:rPr>
        <w:t xml:space="preserve">information on the ‘true’ cost of service delivery. For example, governments do not </w:t>
      </w:r>
      <w:r w:rsidRPr="00117D97">
        <w:rPr>
          <w:rFonts w:eastAsia="Times New Roman"/>
          <w:lang w:eastAsia="en-AU"/>
        </w:rPr>
        <w:t xml:space="preserve">visibility on the full operating </w:t>
      </w:r>
      <w:r>
        <w:rPr>
          <w:rFonts w:eastAsia="Times New Roman"/>
          <w:lang w:eastAsia="en-AU"/>
        </w:rPr>
        <w:t xml:space="preserve">and overhead </w:t>
      </w:r>
      <w:r w:rsidRPr="00117D97">
        <w:rPr>
          <w:rFonts w:eastAsia="Times New Roman"/>
          <w:lang w:eastAsia="en-AU"/>
        </w:rPr>
        <w:t xml:space="preserve">costs of sole traders and platform workers. </w:t>
      </w:r>
    </w:p>
    <w:p w14:paraId="386720E2" w14:textId="77777777" w:rsidR="008A5BCE" w:rsidRPr="00292C9D" w:rsidRDefault="008A5BCE" w:rsidP="008A5BCE">
      <w:pPr>
        <w:pStyle w:val="Heading3"/>
        <w:rPr>
          <w:rFonts w:eastAsia="Times New Roman"/>
          <w:lang w:val="en-US" w:eastAsia="en-AU"/>
        </w:rPr>
      </w:pPr>
      <w:r w:rsidRPr="00773ED6">
        <w:rPr>
          <w:rFonts w:eastAsia="Times New Roman"/>
          <w:lang w:val="en-US" w:eastAsia="en-AU"/>
        </w:rPr>
        <w:lastRenderedPageBreak/>
        <w:t>The NDIA does not take advantage of its buying power to get a good price, even in well-established markets</w:t>
      </w:r>
    </w:p>
    <w:p w14:paraId="6765480E" w14:textId="77777777" w:rsidR="008A5BCE" w:rsidRDefault="008A5BCE" w:rsidP="008A5BCE">
      <w:pPr>
        <w:rPr>
          <w:rFonts w:eastAsia="Times New Roman"/>
          <w:lang w:eastAsia="en-AU"/>
        </w:rPr>
      </w:pPr>
      <w:r w:rsidRPr="3DFFC190">
        <w:rPr>
          <w:rFonts w:eastAsia="Times New Roman"/>
          <w:lang w:eastAsia="en-AU"/>
        </w:rPr>
        <w:t>Price caps for therapy supports are informed by prices in the large and well-established private market for</w:t>
      </w:r>
      <w:r>
        <w:rPr>
          <w:rFonts w:eastAsia="Times New Roman"/>
          <w:lang w:eastAsia="en-AU"/>
        </w:rPr>
        <w:t xml:space="preserve"> </w:t>
      </w:r>
      <w:r w:rsidRPr="3DFFC190" w:rsidDel="00502191">
        <w:rPr>
          <w:rFonts w:eastAsia="Times New Roman"/>
          <w:lang w:eastAsia="en-AU"/>
        </w:rPr>
        <w:t>therapy supports</w:t>
      </w:r>
      <w:r w:rsidRPr="3DFFC190">
        <w:rPr>
          <w:rFonts w:eastAsia="Times New Roman"/>
          <w:lang w:eastAsia="en-AU"/>
        </w:rPr>
        <w:t xml:space="preserve">. </w:t>
      </w:r>
      <w:r>
        <w:rPr>
          <w:rFonts w:eastAsia="Times New Roman"/>
          <w:lang w:eastAsia="en-AU"/>
        </w:rPr>
        <w:t>F</w:t>
      </w:r>
      <w:r w:rsidRPr="3DFFC190">
        <w:rPr>
          <w:rFonts w:eastAsia="Times New Roman"/>
          <w:lang w:eastAsia="en-AU"/>
        </w:rPr>
        <w:t>or therapy supports</w:t>
      </w:r>
      <w:r>
        <w:rPr>
          <w:rFonts w:eastAsia="Times New Roman"/>
          <w:lang w:eastAsia="en-AU"/>
        </w:rPr>
        <w:t>,</w:t>
      </w:r>
      <w:r w:rsidRPr="3DFFC190">
        <w:rPr>
          <w:rFonts w:eastAsia="Times New Roman"/>
          <w:lang w:eastAsia="en-AU"/>
        </w:rPr>
        <w:t xml:space="preserve"> the NDIA sets price caps </w:t>
      </w:r>
      <w:r>
        <w:rPr>
          <w:rFonts w:eastAsia="Times New Roman"/>
          <w:lang w:eastAsia="en-AU"/>
        </w:rPr>
        <w:t>with reference to</w:t>
      </w:r>
      <w:r w:rsidRPr="3DFFC190">
        <w:rPr>
          <w:rFonts w:eastAsia="Times New Roman"/>
          <w:lang w:eastAsia="en-AU"/>
        </w:rPr>
        <w:t xml:space="preserve"> </w:t>
      </w:r>
      <w:r>
        <w:rPr>
          <w:rFonts w:eastAsia="Times New Roman"/>
          <w:lang w:eastAsia="en-AU"/>
        </w:rPr>
        <w:t>available information on the top</w:t>
      </w:r>
      <w:r w:rsidRPr="3DFFC190">
        <w:rPr>
          <w:rFonts w:eastAsia="Times New Roman"/>
          <w:lang w:eastAsia="en-AU"/>
        </w:rPr>
        <w:t xml:space="preserve"> 75</w:t>
      </w:r>
      <w:r w:rsidRPr="00036C37">
        <w:rPr>
          <w:rFonts w:eastAsia="Times New Roman"/>
          <w:vertAlign w:val="superscript"/>
          <w:lang w:eastAsia="en-AU"/>
        </w:rPr>
        <w:t>th</w:t>
      </w:r>
      <w:r w:rsidRPr="3DFFC190">
        <w:rPr>
          <w:rFonts w:eastAsia="Times New Roman"/>
          <w:lang w:eastAsia="en-AU"/>
        </w:rPr>
        <w:t xml:space="preserve"> percentile of </w:t>
      </w:r>
      <w:r>
        <w:rPr>
          <w:rFonts w:eastAsia="Times New Roman"/>
          <w:lang w:eastAsia="en-AU"/>
        </w:rPr>
        <w:t xml:space="preserve">private </w:t>
      </w:r>
      <w:r w:rsidRPr="3DFFC190">
        <w:rPr>
          <w:rFonts w:eastAsia="Times New Roman"/>
          <w:lang w:eastAsia="en-AU"/>
        </w:rPr>
        <w:t xml:space="preserve">market prices. </w:t>
      </w:r>
    </w:p>
    <w:p w14:paraId="338A25A4" w14:textId="77777777" w:rsidR="008A5BCE" w:rsidRPr="00E239E6" w:rsidRDefault="008A5BCE" w:rsidP="008A5BCE">
      <w:pPr>
        <w:rPr>
          <w:rFonts w:eastAsia="Times New Roman" w:cstheme="minorHAnsi"/>
          <w:lang w:eastAsia="en-AU"/>
        </w:rPr>
      </w:pPr>
      <w:r>
        <w:rPr>
          <w:rFonts w:eastAsia="Times New Roman"/>
          <w:lang w:eastAsia="en-AU"/>
        </w:rPr>
        <w:t xml:space="preserve">As part of the </w:t>
      </w:r>
      <w:r>
        <w:t>2021-22 Annual Pricing Review, the NDIA collected some data</w:t>
      </w:r>
      <w:r w:rsidRPr="3DFFC190">
        <w:t xml:space="preserve"> on the advertised rates of therapy </w:t>
      </w:r>
      <w:r>
        <w:t>supports delivered in the private market. This suggested the</w:t>
      </w:r>
      <w:r w:rsidRPr="3DFFC190">
        <w:rPr>
          <w:rFonts w:eastAsia="Times New Roman"/>
          <w:lang w:val="en-US" w:eastAsia="en-AU"/>
        </w:rPr>
        <w:t xml:space="preserve"> average hourly cost of therapy supports </w:t>
      </w:r>
      <w:r>
        <w:rPr>
          <w:rFonts w:eastAsia="Times New Roman"/>
          <w:lang w:val="en-US" w:eastAsia="en-AU"/>
        </w:rPr>
        <w:t>was</w:t>
      </w:r>
      <w:r w:rsidRPr="3DFFC190">
        <w:rPr>
          <w:rFonts w:eastAsia="Times New Roman"/>
          <w:lang w:val="en-US" w:eastAsia="en-AU"/>
        </w:rPr>
        <w:t xml:space="preserve"> $172 </w:t>
      </w:r>
      <w:r>
        <w:rPr>
          <w:rFonts w:eastAsia="Times New Roman"/>
          <w:lang w:val="en-US" w:eastAsia="en-AU"/>
        </w:rPr>
        <w:t>in the private market,</w:t>
      </w:r>
      <w:r w:rsidRPr="3DFFC190">
        <w:rPr>
          <w:rStyle w:val="EndnoteReference"/>
          <w:rFonts w:eastAsia="Times New Roman"/>
          <w:lang w:val="en-US" w:eastAsia="en-AU"/>
        </w:rPr>
        <w:endnoteReference w:id="50"/>
      </w:r>
      <w:r>
        <w:rPr>
          <w:rFonts w:eastAsia="Times New Roman"/>
          <w:lang w:val="en-US" w:eastAsia="en-AU"/>
        </w:rPr>
        <w:t xml:space="preserve"> compared with the NDIS price limit of $194 per hour for most therapy supports.</w:t>
      </w:r>
      <w:r>
        <w:rPr>
          <w:rStyle w:val="EndnoteReference"/>
          <w:rFonts w:eastAsia="Times New Roman"/>
          <w:lang w:val="en-US" w:eastAsia="en-AU"/>
        </w:rPr>
        <w:endnoteReference w:id="51"/>
      </w:r>
    </w:p>
    <w:p w14:paraId="55D2D546" w14:textId="77777777" w:rsidR="008A5BCE" w:rsidRDefault="008A5BCE" w:rsidP="008A5BCE">
      <w:pPr>
        <w:rPr>
          <w:rFonts w:eastAsia="Times New Roman"/>
          <w:lang w:eastAsia="en-AU"/>
        </w:rPr>
      </w:pPr>
      <w:r>
        <w:rPr>
          <w:rFonts w:eastAsia="Times New Roman"/>
          <w:lang w:eastAsia="en-AU"/>
        </w:rPr>
        <w:t>The NDIA is</w:t>
      </w:r>
      <w:r w:rsidRPr="3DFFC190">
        <w:rPr>
          <w:rFonts w:eastAsia="Times New Roman"/>
          <w:lang w:eastAsia="en-AU"/>
        </w:rPr>
        <w:t xml:space="preserve"> a reasonably large purchaser</w:t>
      </w:r>
      <w:r>
        <w:rPr>
          <w:rFonts w:eastAsia="Times New Roman"/>
          <w:lang w:eastAsia="en-AU"/>
        </w:rPr>
        <w:t xml:space="preserve"> of therapy supports</w:t>
      </w:r>
      <w:r w:rsidRPr="3DFFC190">
        <w:rPr>
          <w:rFonts w:eastAsia="Times New Roman"/>
          <w:lang w:eastAsia="en-AU"/>
        </w:rPr>
        <w:t xml:space="preserve"> in </w:t>
      </w:r>
      <w:r>
        <w:rPr>
          <w:rFonts w:eastAsia="Times New Roman"/>
          <w:lang w:eastAsia="en-AU"/>
        </w:rPr>
        <w:t xml:space="preserve">what is </w:t>
      </w:r>
      <w:r w:rsidRPr="3DFFC190">
        <w:rPr>
          <w:rFonts w:eastAsia="Times New Roman"/>
          <w:lang w:eastAsia="en-AU"/>
        </w:rPr>
        <w:t>a well-established market</w:t>
      </w:r>
      <w:r>
        <w:rPr>
          <w:rFonts w:eastAsia="Times New Roman"/>
          <w:lang w:eastAsia="en-AU"/>
        </w:rPr>
        <w:t>. In 2021-22, over 530,000 participants (98%) had therapy supports in their plans.</w:t>
      </w:r>
      <w:r w:rsidRPr="00E239E6">
        <w:rPr>
          <w:rStyle w:val="EndnoteReference"/>
          <w:rFonts w:eastAsia="Times New Roman" w:cstheme="minorHAnsi"/>
          <w:lang w:eastAsia="en-AU"/>
        </w:rPr>
        <w:endnoteReference w:id="52"/>
      </w:r>
      <w:r>
        <w:rPr>
          <w:rFonts w:eastAsia="Times New Roman"/>
          <w:lang w:eastAsia="en-AU"/>
        </w:rPr>
        <w:t xml:space="preserve"> In the same year, agency- and plan-managed participants spent over $2.6 billion on therapy supports</w:t>
      </w:r>
      <w:r w:rsidRPr="00E239E6">
        <w:rPr>
          <w:rFonts w:eastAsia="Times New Roman" w:cstheme="minorHAnsi"/>
          <w:lang w:eastAsia="en-AU"/>
        </w:rPr>
        <w:t>.</w:t>
      </w:r>
      <w:r w:rsidRPr="00E239E6">
        <w:rPr>
          <w:rStyle w:val="EndnoteReference"/>
          <w:rFonts w:eastAsia="Times New Roman" w:cstheme="minorHAnsi"/>
          <w:lang w:eastAsia="en-AU"/>
        </w:rPr>
        <w:endnoteReference w:id="53"/>
      </w:r>
    </w:p>
    <w:p w14:paraId="144CD053" w14:textId="77777777" w:rsidR="008A5BCE" w:rsidRPr="00E239E6" w:rsidRDefault="008A5BCE" w:rsidP="008A5BCE">
      <w:pPr>
        <w:rPr>
          <w:lang w:val="en-US" w:eastAsia="en-AU"/>
        </w:rPr>
      </w:pPr>
      <w:r>
        <w:rPr>
          <w:rFonts w:eastAsia="Times New Roman"/>
          <w:lang w:eastAsia="en-AU"/>
        </w:rPr>
        <w:t>Despite this, participants and disability representative and carer organisations report that participants pay more for therapy supports than non-NDIS participants, with some calling this ‘</w:t>
      </w:r>
      <w:r w:rsidRPr="3DFFC190">
        <w:rPr>
          <w:rFonts w:eastAsia="Times New Roman"/>
          <w:lang w:eastAsia="en-AU"/>
        </w:rPr>
        <w:t>p</w:t>
      </w:r>
      <w:r w:rsidRPr="3DFFC190">
        <w:t>rice gouging</w:t>
      </w:r>
      <w:r>
        <w:t>’</w:t>
      </w:r>
      <w:r w:rsidRPr="3DFFC190">
        <w:t xml:space="preserve">. </w:t>
      </w:r>
    </w:p>
    <w:p w14:paraId="61E0B739" w14:textId="77777777" w:rsidR="008A5BCE" w:rsidRDefault="008A5BCE" w:rsidP="008A5BCE">
      <w:pPr>
        <w:pStyle w:val="Quote"/>
        <w:spacing w:before="120" w:after="240"/>
        <w:rPr>
          <w:rFonts w:eastAsia="Times New Roman" w:cstheme="minorHAnsi"/>
          <w:lang w:val="en-US" w:eastAsia="en-AU"/>
        </w:rPr>
      </w:pPr>
      <w:r>
        <w:rPr>
          <w:rFonts w:eastAsia="Times New Roman" w:cstheme="minorHAnsi"/>
          <w:lang w:val="en-US" w:eastAsia="en-AU"/>
        </w:rPr>
        <w:t>‘</w:t>
      </w:r>
      <w:r w:rsidRPr="00E239E6">
        <w:rPr>
          <w:rFonts w:eastAsia="Times New Roman" w:cstheme="minorHAnsi"/>
          <w:lang w:val="en-US" w:eastAsia="en-AU"/>
        </w:rPr>
        <w:t xml:space="preserve">When we go to therapies we </w:t>
      </w:r>
      <w:r w:rsidRPr="008A5BCE">
        <w:rPr>
          <w:rFonts w:eastAsia="Times New Roman" w:cstheme="minorHAnsi"/>
          <w:b/>
          <w:color w:val="8F578F" w:themeColor="text2" w:themeShade="BF"/>
          <w:lang w:val="en-US" w:eastAsia="en-AU"/>
        </w:rPr>
        <w:t>pay the maximum price of the pricing arrangements when I could go in under my private health and not pay anywhere near the same costs</w:t>
      </w:r>
      <w:r>
        <w:rPr>
          <w:rFonts w:eastAsia="Times New Roman" w:cstheme="minorHAnsi"/>
          <w:lang w:val="en-US" w:eastAsia="en-AU"/>
        </w:rPr>
        <w:t>.’</w:t>
      </w:r>
    </w:p>
    <w:p w14:paraId="04E1F2F5" w14:textId="77777777" w:rsidR="008A5BCE" w:rsidRPr="00423AB7" w:rsidRDefault="008A5BCE" w:rsidP="008A5BCE">
      <w:pPr>
        <w:pStyle w:val="Quote"/>
        <w:rPr>
          <w:rFonts w:eastAsia="Times New Roman"/>
          <w:lang w:val="en-US" w:eastAsia="en-AU"/>
        </w:rPr>
      </w:pPr>
      <w:r>
        <w:rPr>
          <w:rFonts w:eastAsia="Times New Roman"/>
          <w:lang w:val="en-US" w:eastAsia="en-AU"/>
        </w:rPr>
        <w:t xml:space="preserve">– </w:t>
      </w:r>
      <w:r w:rsidRPr="00FE107A">
        <w:rPr>
          <w:rFonts w:eastAsia="Times New Roman"/>
          <w:lang w:val="en-US" w:eastAsia="en-AU"/>
        </w:rPr>
        <w:t>Britt</w:t>
      </w:r>
      <w:r>
        <w:rPr>
          <w:rFonts w:eastAsia="Times New Roman"/>
          <w:lang w:val="en-US" w:eastAsia="en-AU"/>
        </w:rPr>
        <w:t xml:space="preserve">, NDIS </w:t>
      </w:r>
      <w:r w:rsidRPr="008A5BCE">
        <w:t>Participant</w:t>
      </w:r>
      <w:r>
        <w:rPr>
          <w:rStyle w:val="EndnoteReference"/>
          <w:rFonts w:eastAsia="Times New Roman" w:cstheme="minorHAnsi"/>
          <w:i w:val="0"/>
          <w:lang w:val="en-US" w:eastAsia="en-AU"/>
        </w:rPr>
        <w:endnoteReference w:id="54"/>
      </w:r>
    </w:p>
    <w:p w14:paraId="6B324E09" w14:textId="77777777" w:rsidR="008A5BCE" w:rsidRDefault="008A5BCE" w:rsidP="008A5BCE">
      <w:pPr>
        <w:pStyle w:val="Quote"/>
        <w:spacing w:before="120" w:after="120"/>
        <w:rPr>
          <w:rFonts w:eastAsia="Times New Roman" w:cstheme="minorHAnsi"/>
          <w:lang w:val="en-US" w:eastAsia="en-AU"/>
        </w:rPr>
      </w:pPr>
    </w:p>
    <w:p w14:paraId="03E88F7B" w14:textId="77777777" w:rsidR="008A5BCE" w:rsidRDefault="008A5BCE" w:rsidP="008A5BCE">
      <w:pPr>
        <w:pStyle w:val="Quote"/>
        <w:keepNext/>
        <w:keepLines/>
        <w:spacing w:before="120" w:after="120"/>
        <w:rPr>
          <w:rFonts w:eastAsia="Times New Roman" w:cstheme="minorHAnsi"/>
          <w:lang w:val="en-US" w:eastAsia="en-AU"/>
        </w:rPr>
      </w:pPr>
      <w:r>
        <w:rPr>
          <w:rFonts w:eastAsia="Times New Roman" w:cstheme="minorHAnsi"/>
          <w:lang w:val="en-US" w:eastAsia="en-AU"/>
        </w:rPr>
        <w:lastRenderedPageBreak/>
        <w:t>‘</w:t>
      </w:r>
      <w:r w:rsidRPr="00E239E6">
        <w:rPr>
          <w:rFonts w:eastAsia="Times New Roman" w:cstheme="minorHAnsi"/>
          <w:lang w:val="en-US" w:eastAsia="en-AU"/>
        </w:rPr>
        <w:t>I try to use mainstream services and products rather than go to disability specific market due to the ridiculous prices charged by providers. As has been stated time and again</w:t>
      </w:r>
      <w:r w:rsidRPr="008A5BCE">
        <w:rPr>
          <w:rFonts w:eastAsia="Times New Roman" w:cstheme="minorHAnsi"/>
          <w:color w:val="8F578F" w:themeColor="text2" w:themeShade="BF"/>
          <w:lang w:val="en-US" w:eastAsia="en-AU"/>
        </w:rPr>
        <w:t xml:space="preserve">, </w:t>
      </w:r>
      <w:r w:rsidRPr="008A5BCE">
        <w:rPr>
          <w:rFonts w:eastAsia="Times New Roman" w:cstheme="minorHAnsi"/>
          <w:b/>
          <w:color w:val="8F578F" w:themeColor="text2" w:themeShade="BF"/>
          <w:lang w:val="en-US" w:eastAsia="en-AU"/>
        </w:rPr>
        <w:t>an able bodied person can go to an allied health professional and be charged $90, but I go for the same service and because I am NDIS funded I get charged more than $200</w:t>
      </w:r>
      <w:r w:rsidRPr="00E239E6">
        <w:rPr>
          <w:rFonts w:eastAsia="Times New Roman" w:cstheme="minorHAnsi"/>
          <w:lang w:val="en-US" w:eastAsia="en-AU"/>
        </w:rPr>
        <w:t xml:space="preserve"> … Not only is it discriminatory but also costs the government more dollars, and the person wit</w:t>
      </w:r>
      <w:r>
        <w:rPr>
          <w:rFonts w:eastAsia="Times New Roman" w:cstheme="minorHAnsi"/>
          <w:lang w:val="en-US" w:eastAsia="en-AU"/>
        </w:rPr>
        <w:t>h disability gets less support.’</w:t>
      </w:r>
    </w:p>
    <w:p w14:paraId="0BD51DDB" w14:textId="77777777" w:rsidR="008A5BCE" w:rsidRPr="00866E3A" w:rsidRDefault="008A5BCE" w:rsidP="00866E3A">
      <w:pPr>
        <w:pStyle w:val="Quote"/>
        <w:rPr>
          <w:rFonts w:eastAsia="Times New Roman"/>
          <w:lang w:val="en-US" w:eastAsia="en-AU"/>
        </w:rPr>
      </w:pPr>
      <w:r>
        <w:rPr>
          <w:rFonts w:eastAsia="Times New Roman"/>
          <w:lang w:val="en-US" w:eastAsia="en-AU"/>
        </w:rPr>
        <w:t xml:space="preserve">– </w:t>
      </w:r>
      <w:r w:rsidRPr="008A5BCE">
        <w:t>Anonymous</w:t>
      </w:r>
      <w:r w:rsidRPr="00FE107A">
        <w:rPr>
          <w:rFonts w:eastAsia="Times New Roman"/>
          <w:lang w:val="en-US" w:eastAsia="en-AU"/>
        </w:rPr>
        <w:t xml:space="preserve">, </w:t>
      </w:r>
      <w:r>
        <w:rPr>
          <w:rFonts w:eastAsia="Times New Roman"/>
          <w:lang w:val="en-US" w:eastAsia="en-AU"/>
        </w:rPr>
        <w:t>NDIS P</w:t>
      </w:r>
      <w:r w:rsidRPr="00FE107A">
        <w:rPr>
          <w:rFonts w:eastAsia="Times New Roman"/>
          <w:lang w:val="en-US" w:eastAsia="en-AU"/>
        </w:rPr>
        <w:t>articipant</w:t>
      </w:r>
      <w:r>
        <w:rPr>
          <w:rStyle w:val="EndnoteReference"/>
          <w:rFonts w:eastAsia="Times New Roman" w:cstheme="minorHAnsi"/>
          <w:i w:val="0"/>
          <w:lang w:val="en-US" w:eastAsia="en-AU"/>
        </w:rPr>
        <w:endnoteReference w:id="55"/>
      </w:r>
    </w:p>
    <w:p w14:paraId="09E70891" w14:textId="77777777" w:rsidR="008A5BCE" w:rsidRDefault="008A5BCE" w:rsidP="008A5BCE">
      <w:pPr>
        <w:pStyle w:val="Quote"/>
        <w:spacing w:before="120" w:after="120"/>
        <w:rPr>
          <w:rFonts w:eastAsia="Times New Roman" w:cstheme="minorHAnsi"/>
          <w:lang w:val="en-US" w:eastAsia="en-AU"/>
        </w:rPr>
      </w:pPr>
      <w:r>
        <w:rPr>
          <w:rFonts w:eastAsia="Times New Roman" w:cstheme="minorHAnsi"/>
          <w:lang w:val="en-US" w:eastAsia="en-AU"/>
        </w:rPr>
        <w:t>‘</w:t>
      </w:r>
      <w:r w:rsidRPr="00050428">
        <w:rPr>
          <w:rFonts w:eastAsia="Times New Roman" w:cstheme="minorHAnsi"/>
          <w:lang w:val="en-US" w:eastAsia="en-AU"/>
        </w:rPr>
        <w:t xml:space="preserve">Because the NDIS Pricing Arrangements and Price Limits covering particular therapy supports far exceed the fees charged by these providers to non-Participants, </w:t>
      </w:r>
      <w:r w:rsidRPr="008A5BCE">
        <w:rPr>
          <w:rFonts w:eastAsia="Times New Roman" w:cstheme="minorHAnsi"/>
          <w:b/>
          <w:color w:val="8F578F" w:themeColor="text2" w:themeShade="BF"/>
          <w:lang w:val="en-US" w:eastAsia="en-AU"/>
        </w:rPr>
        <w:t>there is an inherent incentive for these providers to charge more than they might otherwise if the NDIS will write the cheque</w:t>
      </w:r>
      <w:r w:rsidRPr="008A5BCE">
        <w:rPr>
          <w:rFonts w:eastAsia="Times New Roman" w:cstheme="minorHAnsi"/>
          <w:color w:val="8F578F" w:themeColor="text2" w:themeShade="BF"/>
          <w:lang w:val="en-US" w:eastAsia="en-AU"/>
        </w:rPr>
        <w:t>.</w:t>
      </w:r>
      <w:r>
        <w:rPr>
          <w:rFonts w:eastAsia="Times New Roman" w:cstheme="minorHAnsi"/>
          <w:lang w:val="en-US" w:eastAsia="en-AU"/>
        </w:rPr>
        <w:t>’</w:t>
      </w:r>
    </w:p>
    <w:p w14:paraId="7F406A61" w14:textId="77777777" w:rsidR="008A5BCE" w:rsidRPr="00E11EAA" w:rsidRDefault="008A5BCE" w:rsidP="008A5BCE">
      <w:pPr>
        <w:pStyle w:val="Quote"/>
        <w:rPr>
          <w:rFonts w:eastAsia="Times New Roman" w:cstheme="minorHAnsi"/>
          <w:lang w:val="en-US" w:eastAsia="en-AU"/>
        </w:rPr>
      </w:pPr>
      <w:r w:rsidRPr="00E11EAA">
        <w:rPr>
          <w:rFonts w:eastAsia="Times New Roman" w:cstheme="minorHAnsi"/>
          <w:lang w:val="en-US" w:eastAsia="en-AU"/>
        </w:rPr>
        <w:t xml:space="preserve">– </w:t>
      </w:r>
      <w:r w:rsidRPr="00E11EAA">
        <w:t>Physical Disability Australia</w:t>
      </w:r>
      <w:r>
        <w:rPr>
          <w:rStyle w:val="EndnoteReference"/>
          <w:i w:val="0"/>
          <w:sz w:val="23"/>
          <w:szCs w:val="23"/>
        </w:rPr>
        <w:endnoteReference w:id="56"/>
      </w:r>
    </w:p>
    <w:p w14:paraId="653E04EB" w14:textId="77777777" w:rsidR="008A5BCE" w:rsidRPr="00FE107A" w:rsidRDefault="008A5BCE" w:rsidP="008A5BCE">
      <w:pPr>
        <w:keepNext/>
        <w:keepLines/>
        <w:spacing w:before="120" w:after="120"/>
        <w:rPr>
          <w:lang w:val="en-US" w:eastAsia="en-AU"/>
        </w:rPr>
      </w:pPr>
      <w:r w:rsidRPr="3DFFC190">
        <w:rPr>
          <w:lang w:val="en-US" w:eastAsia="en-AU"/>
        </w:rPr>
        <w:t>Similar concerns have been raised for assistive technology.</w:t>
      </w:r>
    </w:p>
    <w:p w14:paraId="174FAAFA" w14:textId="77777777" w:rsidR="008A5BCE" w:rsidRDefault="008A5BCE" w:rsidP="008A5BCE">
      <w:pPr>
        <w:pStyle w:val="Quote"/>
        <w:keepNext/>
        <w:keepLines/>
        <w:spacing w:before="120" w:after="120"/>
        <w:rPr>
          <w:rFonts w:eastAsia="Times New Roman" w:cstheme="minorHAnsi"/>
          <w:lang w:val="en-US" w:eastAsia="en-AU"/>
        </w:rPr>
      </w:pPr>
      <w:r>
        <w:rPr>
          <w:rFonts w:eastAsia="Times New Roman" w:cstheme="minorHAnsi"/>
          <w:lang w:val="en-US" w:eastAsia="en-AU"/>
        </w:rPr>
        <w:t>‘</w:t>
      </w:r>
      <w:r w:rsidRPr="00E239E6">
        <w:rPr>
          <w:rFonts w:eastAsia="Times New Roman" w:cstheme="minorHAnsi"/>
          <w:lang w:val="en-US" w:eastAsia="en-AU"/>
        </w:rPr>
        <w:t xml:space="preserve">Too many people see it as easy money, at the expense of the disabled community. Legislating to prevent companies </w:t>
      </w:r>
      <w:r w:rsidRPr="008A5BCE">
        <w:rPr>
          <w:rFonts w:eastAsia="Times New Roman" w:cstheme="minorHAnsi"/>
          <w:b/>
          <w:color w:val="8F578F" w:themeColor="text2" w:themeShade="BF"/>
          <w:lang w:val="en-US" w:eastAsia="en-AU"/>
        </w:rPr>
        <w:t>charging a private individual $2,000 for a wheelchair and the NDIS $8,000 for the same product</w:t>
      </w:r>
      <w:r>
        <w:rPr>
          <w:rFonts w:eastAsia="Times New Roman" w:cstheme="minorHAnsi"/>
          <w:lang w:val="en-US" w:eastAsia="en-AU"/>
        </w:rPr>
        <w:t>.’</w:t>
      </w:r>
    </w:p>
    <w:p w14:paraId="665EF91B" w14:textId="77777777" w:rsidR="008A5BCE" w:rsidRPr="00423AB7" w:rsidRDefault="008A5BCE" w:rsidP="008A5BCE">
      <w:pPr>
        <w:pStyle w:val="Quote"/>
        <w:rPr>
          <w:rFonts w:eastAsia="Times New Roman"/>
          <w:lang w:val="en-US" w:eastAsia="en-AU"/>
        </w:rPr>
      </w:pPr>
      <w:r>
        <w:rPr>
          <w:rFonts w:eastAsia="Times New Roman"/>
          <w:lang w:val="en-US" w:eastAsia="en-AU"/>
        </w:rPr>
        <w:t xml:space="preserve">– Trish, Carer </w:t>
      </w:r>
      <w:r w:rsidRPr="008A5BCE">
        <w:t>and</w:t>
      </w:r>
      <w:r>
        <w:rPr>
          <w:rFonts w:eastAsia="Times New Roman"/>
          <w:lang w:val="en-US" w:eastAsia="en-AU"/>
        </w:rPr>
        <w:t xml:space="preserve"> p</w:t>
      </w:r>
      <w:r w:rsidRPr="00FE107A">
        <w:rPr>
          <w:rFonts w:eastAsia="Times New Roman"/>
          <w:lang w:val="en-US" w:eastAsia="en-AU"/>
        </w:rPr>
        <w:t>erson with disability</w:t>
      </w:r>
      <w:r>
        <w:rPr>
          <w:rStyle w:val="EndnoteReference"/>
          <w:rFonts w:eastAsia="Times New Roman" w:cstheme="minorHAnsi"/>
          <w:i w:val="0"/>
          <w:lang w:val="en-US" w:eastAsia="en-AU"/>
        </w:rPr>
        <w:endnoteReference w:id="57"/>
      </w:r>
    </w:p>
    <w:p w14:paraId="64877B2A" w14:textId="77777777" w:rsidR="008A5BCE" w:rsidRPr="00E239E6" w:rsidRDefault="008A5BCE" w:rsidP="008A5BCE">
      <w:pPr>
        <w:rPr>
          <w:rFonts w:eastAsia="Times New Roman" w:cstheme="minorHAnsi"/>
          <w:lang w:eastAsia="en-AU"/>
        </w:rPr>
      </w:pPr>
      <w:r>
        <w:rPr>
          <w:rFonts w:cstheme="minorHAnsi"/>
        </w:rPr>
        <w:t>‘</w:t>
      </w:r>
      <w:r w:rsidRPr="00E239E6">
        <w:rPr>
          <w:rFonts w:cstheme="minorHAnsi"/>
        </w:rPr>
        <w:t>Price gouging</w:t>
      </w:r>
      <w:r>
        <w:rPr>
          <w:rFonts w:cstheme="minorHAnsi"/>
        </w:rPr>
        <w:t>’ or</w:t>
      </w:r>
      <w:r w:rsidRPr="00E239E6">
        <w:rPr>
          <w:rFonts w:cstheme="minorHAnsi"/>
        </w:rPr>
        <w:t xml:space="preserve"> setting excessively inflated prices </w:t>
      </w:r>
      <w:r>
        <w:rPr>
          <w:rFonts w:cstheme="minorHAnsi"/>
        </w:rPr>
        <w:t xml:space="preserve">are </w:t>
      </w:r>
      <w:r w:rsidRPr="00E239E6">
        <w:rPr>
          <w:rFonts w:cstheme="minorHAnsi"/>
        </w:rPr>
        <w:t xml:space="preserve">not on </w:t>
      </w:r>
      <w:r>
        <w:rPr>
          <w:rFonts w:cstheme="minorHAnsi"/>
        </w:rPr>
        <w:t>their</w:t>
      </w:r>
      <w:r w:rsidRPr="00E239E6">
        <w:rPr>
          <w:rFonts w:cstheme="minorHAnsi"/>
        </w:rPr>
        <w:t xml:space="preserve"> own illegal.</w:t>
      </w:r>
      <w:r w:rsidRPr="00E239E6">
        <w:rPr>
          <w:rStyle w:val="EndnoteReference"/>
          <w:rFonts w:cstheme="minorHAnsi"/>
        </w:rPr>
        <w:endnoteReference w:id="58"/>
      </w:r>
      <w:r w:rsidRPr="00E239E6">
        <w:rPr>
          <w:rFonts w:cstheme="minorHAnsi"/>
        </w:rPr>
        <w:t xml:space="preserve"> </w:t>
      </w:r>
      <w:r>
        <w:rPr>
          <w:rFonts w:cstheme="minorHAnsi"/>
        </w:rPr>
        <w:t>However, u</w:t>
      </w:r>
      <w:r w:rsidRPr="00E239E6">
        <w:rPr>
          <w:rFonts w:cstheme="minorHAnsi"/>
        </w:rPr>
        <w:t xml:space="preserve">nder Australian competition laws, businesses must not engage in anti-competitive behaviour that misleads consumers about what they’ll be charged or why, and must not collude with their competitors in setting prices. </w:t>
      </w:r>
    </w:p>
    <w:p w14:paraId="3C8CEBDA" w14:textId="77777777" w:rsidR="008A5BCE" w:rsidRPr="00E239E6" w:rsidRDefault="008A5BCE" w:rsidP="008A5BCE">
      <w:pPr>
        <w:rPr>
          <w:rFonts w:eastAsia="Times New Roman" w:cstheme="minorHAnsi"/>
          <w:lang w:eastAsia="en-AU"/>
        </w:rPr>
      </w:pPr>
      <w:r w:rsidRPr="00E239E6">
        <w:rPr>
          <w:rFonts w:eastAsia="Times New Roman" w:cstheme="minorHAnsi"/>
          <w:lang w:eastAsia="en-AU"/>
        </w:rPr>
        <w:t xml:space="preserve">That said, there is a high prevalence of providers charging at the price cap. </w:t>
      </w:r>
      <w:r w:rsidRPr="00700FE6">
        <w:rPr>
          <w:iCs/>
        </w:rPr>
        <w:t xml:space="preserve">In 2021-22, </w:t>
      </w:r>
      <w:r>
        <w:rPr>
          <w:iCs/>
        </w:rPr>
        <w:t>just under three in four (</w:t>
      </w:r>
      <w:r w:rsidRPr="00700FE6">
        <w:rPr>
          <w:iCs/>
        </w:rPr>
        <w:t>72</w:t>
      </w:r>
      <w:r>
        <w:rPr>
          <w:rFonts w:eastAsia="Times New Roman"/>
          <w:lang w:eastAsia="en-AU"/>
        </w:rPr>
        <w:t>%)</w:t>
      </w:r>
      <w:r>
        <w:rPr>
          <w:rFonts w:eastAsia="Times New Roman" w:cstheme="minorHAnsi"/>
          <w:lang w:eastAsia="en-AU"/>
        </w:rPr>
        <w:t xml:space="preserve"> </w:t>
      </w:r>
      <w:r w:rsidRPr="00700FE6">
        <w:rPr>
          <w:rFonts w:eastAsia="Times New Roman" w:cstheme="minorHAnsi"/>
          <w:lang w:eastAsia="en-AU"/>
        </w:rPr>
        <w:t xml:space="preserve">therapy </w:t>
      </w:r>
      <w:r>
        <w:rPr>
          <w:rFonts w:eastAsia="Times New Roman" w:cstheme="minorHAnsi"/>
          <w:lang w:eastAsia="en-AU"/>
        </w:rPr>
        <w:t>sessions</w:t>
      </w:r>
      <w:r w:rsidRPr="00700FE6">
        <w:rPr>
          <w:rFonts w:eastAsia="Times New Roman" w:cstheme="minorHAnsi"/>
          <w:lang w:eastAsia="en-AU"/>
        </w:rPr>
        <w:t xml:space="preserve"> delivered to agency</w:t>
      </w:r>
      <w:r>
        <w:rPr>
          <w:rFonts w:eastAsia="Times New Roman" w:cstheme="minorHAnsi"/>
          <w:lang w:eastAsia="en-AU"/>
        </w:rPr>
        <w:t>-</w:t>
      </w:r>
      <w:r w:rsidRPr="00700FE6">
        <w:rPr>
          <w:rFonts w:eastAsia="Times New Roman" w:cstheme="minorHAnsi"/>
          <w:lang w:eastAsia="en-AU"/>
        </w:rPr>
        <w:t xml:space="preserve"> and plan-managed participants were charged at </w:t>
      </w:r>
      <w:r>
        <w:rPr>
          <w:rFonts w:eastAsia="Times New Roman" w:cstheme="minorHAnsi"/>
          <w:lang w:eastAsia="en-AU"/>
        </w:rPr>
        <w:t xml:space="preserve">or close to </w:t>
      </w:r>
      <w:r w:rsidRPr="00700FE6">
        <w:rPr>
          <w:rFonts w:eastAsia="Times New Roman" w:cstheme="minorHAnsi"/>
          <w:lang w:eastAsia="en-AU"/>
        </w:rPr>
        <w:t xml:space="preserve">the price </w:t>
      </w:r>
      <w:r w:rsidRPr="00E239E6">
        <w:rPr>
          <w:rFonts w:eastAsia="Times New Roman" w:cstheme="minorHAnsi"/>
          <w:lang w:eastAsia="en-AU"/>
        </w:rPr>
        <w:t>cap.</w:t>
      </w:r>
      <w:r w:rsidRPr="00E239E6">
        <w:rPr>
          <w:rStyle w:val="EndnoteReference"/>
          <w:rFonts w:eastAsia="Times New Roman" w:cstheme="minorHAnsi"/>
          <w:lang w:eastAsia="en-AU"/>
        </w:rPr>
        <w:endnoteReference w:id="59"/>
      </w:r>
      <w:r w:rsidRPr="00E239E6">
        <w:rPr>
          <w:rFonts w:eastAsia="Times New Roman" w:cstheme="minorHAnsi"/>
          <w:lang w:eastAsia="en-AU"/>
        </w:rPr>
        <w:t xml:space="preserve"> The </w:t>
      </w:r>
      <w:r w:rsidRPr="00E239E6">
        <w:rPr>
          <w:rFonts w:eastAsia="Times New Roman" w:cstheme="minorHAnsi"/>
          <w:lang w:eastAsia="en-AU"/>
        </w:rPr>
        <w:lastRenderedPageBreak/>
        <w:t>NDIA does not systematically collect data on therapy supports delivered to self-managed participants.</w:t>
      </w:r>
    </w:p>
    <w:p w14:paraId="0540CBC3" w14:textId="77777777" w:rsidR="008A5BCE" w:rsidRPr="00E239E6" w:rsidRDefault="008A5BCE" w:rsidP="008A5BCE">
      <w:pPr>
        <w:rPr>
          <w:rFonts w:eastAsia="Times New Roman" w:cstheme="minorHAnsi"/>
          <w:lang w:eastAsia="en-AU"/>
        </w:rPr>
      </w:pPr>
      <w:r w:rsidRPr="00E239E6">
        <w:rPr>
          <w:rFonts w:eastAsia="Times New Roman" w:cstheme="minorHAnsi"/>
          <w:lang w:eastAsia="en-AU"/>
        </w:rPr>
        <w:t>There may be valid reasons why prices are higher for some participants.</w:t>
      </w:r>
    </w:p>
    <w:p w14:paraId="21D5A8D8" w14:textId="77777777" w:rsidR="008A5BCE" w:rsidRPr="00E239E6" w:rsidDel="009F23A8" w:rsidRDefault="008A5BCE" w:rsidP="008A5BCE">
      <w:pPr>
        <w:rPr>
          <w:rFonts w:eastAsia="Times New Roman" w:cstheme="minorHAnsi"/>
          <w:lang w:eastAsia="en-AU"/>
        </w:rPr>
      </w:pPr>
      <w:r w:rsidRPr="00E239E6" w:rsidDel="009F23A8">
        <w:rPr>
          <w:rFonts w:eastAsia="Times New Roman" w:cstheme="minorHAnsi"/>
          <w:lang w:eastAsia="en-AU"/>
        </w:rPr>
        <w:t xml:space="preserve">Providers may face additional regulatory and administrative costs when delivering services to </w:t>
      </w:r>
      <w:r w:rsidRPr="00E239E6">
        <w:rPr>
          <w:rFonts w:eastAsia="Times New Roman" w:cstheme="minorHAnsi"/>
          <w:lang w:eastAsia="en-AU"/>
        </w:rPr>
        <w:t xml:space="preserve">NDIS </w:t>
      </w:r>
      <w:r w:rsidRPr="00E239E6" w:rsidDel="009F23A8">
        <w:rPr>
          <w:rFonts w:eastAsia="Times New Roman" w:cstheme="minorHAnsi"/>
          <w:lang w:eastAsia="en-AU"/>
        </w:rPr>
        <w:t xml:space="preserve">participants. For example, </w:t>
      </w:r>
      <w:r>
        <w:rPr>
          <w:rFonts w:eastAsia="Times New Roman" w:cstheme="minorHAnsi"/>
          <w:lang w:eastAsia="en-AU"/>
        </w:rPr>
        <w:t xml:space="preserve">while the range of audit costs vary according to provider size and scope, </w:t>
      </w:r>
      <w:r w:rsidRPr="00E239E6" w:rsidDel="009F23A8">
        <w:rPr>
          <w:rFonts w:eastAsia="Times New Roman" w:cstheme="minorHAnsi"/>
          <w:lang w:eastAsia="en-AU"/>
        </w:rPr>
        <w:t xml:space="preserve">registered </w:t>
      </w:r>
      <w:r>
        <w:rPr>
          <w:rFonts w:eastAsia="Times New Roman" w:cstheme="minorHAnsi"/>
          <w:lang w:eastAsia="en-AU"/>
        </w:rPr>
        <w:t xml:space="preserve">NDIS </w:t>
      </w:r>
      <w:r w:rsidRPr="00E239E6" w:rsidDel="009F23A8">
        <w:rPr>
          <w:rFonts w:eastAsia="Times New Roman" w:cstheme="minorHAnsi"/>
          <w:lang w:eastAsia="en-AU"/>
        </w:rPr>
        <w:t xml:space="preserve">providers face </w:t>
      </w:r>
      <w:r w:rsidDel="009F23A8">
        <w:rPr>
          <w:rFonts w:eastAsia="Times New Roman" w:cstheme="minorHAnsi"/>
          <w:lang w:eastAsia="en-AU"/>
        </w:rPr>
        <w:t>a</w:t>
      </w:r>
      <w:r w:rsidRPr="00E239E6" w:rsidDel="009F23A8">
        <w:rPr>
          <w:rFonts w:eastAsia="Times New Roman" w:cstheme="minorHAnsi"/>
          <w:lang w:eastAsia="en-AU"/>
        </w:rPr>
        <w:t xml:space="preserve"> </w:t>
      </w:r>
      <w:r w:rsidDel="009F23A8">
        <w:rPr>
          <w:rFonts w:eastAsia="Times New Roman" w:cstheme="minorHAnsi"/>
          <w:lang w:eastAsia="en-AU"/>
        </w:rPr>
        <w:t xml:space="preserve">median cost of </w:t>
      </w:r>
      <w:r>
        <w:rPr>
          <w:rFonts w:eastAsia="Times New Roman" w:cstheme="minorHAnsi"/>
          <w:lang w:eastAsia="en-AU"/>
        </w:rPr>
        <w:t>$935</w:t>
      </w:r>
      <w:r w:rsidRPr="00E239E6" w:rsidDel="009F23A8">
        <w:rPr>
          <w:rFonts w:eastAsia="Times New Roman" w:cstheme="minorHAnsi"/>
          <w:lang w:eastAsia="en-AU"/>
        </w:rPr>
        <w:t xml:space="preserve"> for verification audits</w:t>
      </w:r>
      <w:r w:rsidDel="009F23A8">
        <w:rPr>
          <w:rFonts w:eastAsia="Times New Roman" w:cstheme="minorHAnsi"/>
          <w:lang w:eastAsia="en-AU"/>
        </w:rPr>
        <w:t>, which must be conducted every three years.</w:t>
      </w:r>
      <w:r w:rsidDel="009F23A8">
        <w:rPr>
          <w:rStyle w:val="EndnoteReference"/>
          <w:rFonts w:eastAsia="Times New Roman" w:cstheme="minorHAnsi"/>
          <w:lang w:eastAsia="en-AU"/>
        </w:rPr>
        <w:endnoteReference w:id="60"/>
      </w:r>
      <w:r>
        <w:rPr>
          <w:rFonts w:eastAsia="Times New Roman" w:cstheme="minorHAnsi"/>
          <w:lang w:eastAsia="en-AU"/>
        </w:rPr>
        <w:t xml:space="preserve"> R</w:t>
      </w:r>
      <w:r w:rsidDel="009F23A8">
        <w:rPr>
          <w:rFonts w:eastAsia="Times New Roman" w:cstheme="minorHAnsi"/>
          <w:lang w:eastAsia="en-AU"/>
        </w:rPr>
        <w:t>egistered</w:t>
      </w:r>
      <w:r w:rsidRPr="00E239E6" w:rsidDel="009F23A8">
        <w:rPr>
          <w:rFonts w:eastAsia="Times New Roman" w:cstheme="minorHAnsi"/>
          <w:lang w:eastAsia="en-AU"/>
        </w:rPr>
        <w:t xml:space="preserve"> </w:t>
      </w:r>
      <w:r>
        <w:rPr>
          <w:rFonts w:eastAsia="Times New Roman" w:cstheme="minorHAnsi"/>
          <w:lang w:eastAsia="en-AU"/>
        </w:rPr>
        <w:t xml:space="preserve">NDIS </w:t>
      </w:r>
      <w:r w:rsidRPr="00E239E6" w:rsidDel="009F23A8">
        <w:rPr>
          <w:rFonts w:eastAsia="Times New Roman" w:cstheme="minorHAnsi"/>
          <w:lang w:eastAsia="en-AU"/>
        </w:rPr>
        <w:t>providers who deliver more complex supports</w:t>
      </w:r>
      <w:r w:rsidDel="009F23A8">
        <w:rPr>
          <w:rFonts w:eastAsia="Times New Roman" w:cstheme="minorHAnsi"/>
          <w:lang w:eastAsia="en-AU"/>
        </w:rPr>
        <w:t xml:space="preserve"> face a median cost of </w:t>
      </w:r>
      <w:r>
        <w:rPr>
          <w:rFonts w:eastAsia="Times New Roman" w:cstheme="minorHAnsi"/>
          <w:lang w:eastAsia="en-AU"/>
        </w:rPr>
        <w:t>around $3</w:t>
      </w:r>
      <w:r w:rsidDel="009F23A8">
        <w:rPr>
          <w:rFonts w:eastAsia="Times New Roman" w:cstheme="minorHAnsi"/>
          <w:lang w:eastAsia="en-AU"/>
        </w:rPr>
        <w:t>,000 for certification audit</w:t>
      </w:r>
      <w:r w:rsidRPr="00E239E6" w:rsidDel="009F23A8">
        <w:rPr>
          <w:rFonts w:eastAsia="Times New Roman" w:cstheme="minorHAnsi"/>
          <w:lang w:eastAsia="en-AU"/>
        </w:rPr>
        <w:t xml:space="preserve">s. </w:t>
      </w:r>
      <w:r w:rsidDel="009F23A8">
        <w:rPr>
          <w:rFonts w:eastAsia="Times New Roman" w:cstheme="minorHAnsi"/>
          <w:lang w:eastAsia="en-AU"/>
        </w:rPr>
        <w:t>These audits must be conducted</w:t>
      </w:r>
      <w:r w:rsidRPr="00E239E6" w:rsidDel="009F23A8">
        <w:rPr>
          <w:rFonts w:eastAsia="Times New Roman" w:cstheme="minorHAnsi"/>
          <w:lang w:eastAsia="en-AU"/>
        </w:rPr>
        <w:t xml:space="preserve"> every </w:t>
      </w:r>
      <w:r w:rsidDel="009F23A8">
        <w:rPr>
          <w:rFonts w:eastAsia="Times New Roman" w:cstheme="minorHAnsi"/>
          <w:lang w:eastAsia="en-AU"/>
        </w:rPr>
        <w:t>three</w:t>
      </w:r>
      <w:r w:rsidRPr="00E239E6" w:rsidDel="009F23A8">
        <w:rPr>
          <w:rFonts w:eastAsia="Times New Roman" w:cstheme="minorHAnsi"/>
          <w:lang w:eastAsia="en-AU"/>
        </w:rPr>
        <w:t xml:space="preserve"> years, with </w:t>
      </w:r>
      <w:r w:rsidDel="009F23A8">
        <w:rPr>
          <w:rFonts w:eastAsia="Times New Roman" w:cstheme="minorHAnsi"/>
          <w:lang w:eastAsia="en-AU"/>
        </w:rPr>
        <w:t xml:space="preserve">mid-term </w:t>
      </w:r>
      <w:r w:rsidRPr="00E239E6" w:rsidDel="009F23A8">
        <w:rPr>
          <w:rFonts w:eastAsia="Times New Roman" w:cstheme="minorHAnsi"/>
          <w:lang w:eastAsia="en-AU"/>
        </w:rPr>
        <w:t xml:space="preserve">certification at </w:t>
      </w:r>
      <w:r w:rsidR="00866E3A">
        <w:rPr>
          <w:rFonts w:eastAsia="Times New Roman" w:cstheme="minorHAnsi"/>
          <w:lang w:eastAsia="en-AU"/>
        </w:rPr>
        <w:t>the</w:t>
      </w:r>
      <w:r w:rsidR="00866E3A">
        <w:rPr>
          <w:rFonts w:eastAsia="Times New Roman" w:cstheme="minorHAnsi"/>
          <w:lang w:eastAsia="en-AU"/>
        </w:rPr>
        <w:br/>
      </w:r>
      <w:r w:rsidRPr="00E239E6" w:rsidDel="009F23A8">
        <w:rPr>
          <w:rFonts w:eastAsia="Times New Roman" w:cstheme="minorHAnsi"/>
          <w:lang w:eastAsia="en-AU"/>
        </w:rPr>
        <w:t>18</w:t>
      </w:r>
      <w:r w:rsidDel="009F23A8">
        <w:rPr>
          <w:rFonts w:eastAsia="Times New Roman" w:cstheme="minorHAnsi"/>
          <w:lang w:eastAsia="en-AU"/>
        </w:rPr>
        <w:t>-month mark.</w:t>
      </w:r>
      <w:r w:rsidRPr="00E239E6" w:rsidDel="009F23A8">
        <w:rPr>
          <w:rStyle w:val="EndnoteReference"/>
          <w:rFonts w:eastAsia="Times New Roman" w:cstheme="minorHAnsi"/>
          <w:lang w:eastAsia="en-AU"/>
        </w:rPr>
        <w:endnoteReference w:id="61"/>
      </w:r>
      <w:r>
        <w:rPr>
          <w:rFonts w:eastAsia="Times New Roman" w:cstheme="minorHAnsi"/>
          <w:lang w:eastAsia="en-AU"/>
        </w:rPr>
        <w:t xml:space="preserve"> </w:t>
      </w:r>
    </w:p>
    <w:p w14:paraId="1CBB385E" w14:textId="77777777" w:rsidR="008A5BCE" w:rsidRPr="00E239E6" w:rsidRDefault="008A5BCE" w:rsidP="008A5BCE">
      <w:pPr>
        <w:rPr>
          <w:rFonts w:eastAsia="Times New Roman" w:cstheme="minorHAnsi"/>
          <w:lang w:eastAsia="en-AU"/>
        </w:rPr>
      </w:pPr>
      <w:r w:rsidRPr="00E239E6">
        <w:rPr>
          <w:rFonts w:eastAsia="Times New Roman" w:cstheme="minorHAnsi"/>
          <w:lang w:eastAsia="en-AU"/>
        </w:rPr>
        <w:t>Price differences may reflect differences in participan</w:t>
      </w:r>
      <w:r>
        <w:rPr>
          <w:rFonts w:eastAsia="Times New Roman" w:cstheme="minorHAnsi"/>
          <w:lang w:eastAsia="en-AU"/>
        </w:rPr>
        <w:t>t complexity or delivery method and, in these cases, may be appropriate if</w:t>
      </w:r>
      <w:r w:rsidRPr="00E239E6">
        <w:rPr>
          <w:rFonts w:eastAsia="Times New Roman" w:cstheme="minorHAnsi"/>
          <w:lang w:eastAsia="en-AU"/>
        </w:rPr>
        <w:t xml:space="preserve"> they improve </w:t>
      </w:r>
      <w:r>
        <w:rPr>
          <w:rFonts w:eastAsia="Times New Roman" w:cstheme="minorHAnsi"/>
          <w:lang w:eastAsia="en-AU"/>
        </w:rPr>
        <w:t xml:space="preserve">participant </w:t>
      </w:r>
      <w:r w:rsidRPr="00E239E6">
        <w:rPr>
          <w:rFonts w:eastAsia="Times New Roman" w:cstheme="minorHAnsi"/>
          <w:lang w:eastAsia="en-AU"/>
        </w:rPr>
        <w:t>outcomes.</w:t>
      </w:r>
    </w:p>
    <w:p w14:paraId="556E3614" w14:textId="77777777" w:rsidR="008A5BCE" w:rsidRPr="00E239E6" w:rsidRDefault="008A5BCE" w:rsidP="008A5BCE">
      <w:pPr>
        <w:rPr>
          <w:rFonts w:cstheme="minorHAnsi"/>
        </w:rPr>
      </w:pPr>
      <w:r w:rsidRPr="00E239E6">
        <w:rPr>
          <w:rFonts w:cstheme="minorHAnsi"/>
        </w:rPr>
        <w:t>Price differences, however, are also likely to represent in part a lack of incentives for providers and participants to provide and seek supports below the price cap.</w:t>
      </w:r>
    </w:p>
    <w:p w14:paraId="001D857F" w14:textId="77777777" w:rsidR="008A5BCE" w:rsidRDefault="008A5BCE" w:rsidP="008A5BCE">
      <w:pPr>
        <w:pStyle w:val="Quote"/>
        <w:keepNext/>
        <w:keepLines/>
        <w:rPr>
          <w:rFonts w:eastAsia="Times New Roman" w:cstheme="minorHAnsi"/>
          <w:lang w:val="en-US" w:eastAsia="en-AU"/>
        </w:rPr>
      </w:pPr>
      <w:r>
        <w:rPr>
          <w:rFonts w:eastAsia="Times New Roman" w:cstheme="minorHAnsi"/>
          <w:lang w:val="en-US" w:eastAsia="en-AU"/>
        </w:rPr>
        <w:t>‘</w:t>
      </w:r>
      <w:r w:rsidRPr="00E239E6">
        <w:rPr>
          <w:rFonts w:eastAsia="Times New Roman" w:cstheme="minorHAnsi"/>
          <w:lang w:val="en-US" w:eastAsia="en-AU"/>
        </w:rPr>
        <w:t xml:space="preserve">My planner complained about the charge our physio charges us, but it is in line with NDIS price guidelines. When I explained this to my planner, she advised that was only a ceiling and no one should be charging that much. </w:t>
      </w:r>
      <w:r w:rsidRPr="008A5BCE">
        <w:rPr>
          <w:rFonts w:eastAsia="Times New Roman" w:cstheme="minorHAnsi"/>
          <w:b/>
          <w:color w:val="8F578F" w:themeColor="text2" w:themeShade="BF"/>
          <w:lang w:val="en-US" w:eastAsia="en-AU"/>
        </w:rPr>
        <w:t>If you are going to put high prices in your price guidelines, you have to expect to be charged those prices</w:t>
      </w:r>
      <w:r w:rsidRPr="008A5BCE">
        <w:rPr>
          <w:rFonts w:eastAsia="Times New Roman" w:cstheme="minorHAnsi"/>
          <w:color w:val="8F578F" w:themeColor="text2" w:themeShade="BF"/>
          <w:lang w:val="en-US" w:eastAsia="en-AU"/>
        </w:rPr>
        <w:t>.</w:t>
      </w:r>
      <w:r>
        <w:rPr>
          <w:rFonts w:eastAsia="Times New Roman" w:cstheme="minorHAnsi"/>
          <w:lang w:val="en-US" w:eastAsia="en-AU"/>
        </w:rPr>
        <w:t>’</w:t>
      </w:r>
    </w:p>
    <w:p w14:paraId="0796FFA7" w14:textId="77777777" w:rsidR="008A5BCE" w:rsidRPr="00423AB7" w:rsidRDefault="008A5BCE" w:rsidP="008A5BCE">
      <w:pPr>
        <w:pStyle w:val="Quote"/>
        <w:rPr>
          <w:rFonts w:eastAsia="Times New Roman"/>
          <w:lang w:val="en-US" w:eastAsia="en-AU"/>
        </w:rPr>
      </w:pPr>
      <w:r>
        <w:rPr>
          <w:rFonts w:eastAsia="Times New Roman"/>
          <w:lang w:val="en-US" w:eastAsia="en-AU"/>
        </w:rPr>
        <w:t xml:space="preserve">– </w:t>
      </w:r>
      <w:r w:rsidRPr="006878DC">
        <w:t xml:space="preserve">Anonymous, </w:t>
      </w:r>
      <w:r>
        <w:t>C</w:t>
      </w:r>
      <w:r w:rsidRPr="006878DC">
        <w:t>arer</w:t>
      </w:r>
      <w:r>
        <w:t xml:space="preserve"> of </w:t>
      </w:r>
      <w:r w:rsidRPr="008A5BCE">
        <w:t>NDIS</w:t>
      </w:r>
      <w:r>
        <w:t xml:space="preserve"> participant</w:t>
      </w:r>
      <w:r>
        <w:rPr>
          <w:rStyle w:val="EndnoteReference"/>
          <w:rFonts w:cstheme="minorHAnsi"/>
          <w:i w:val="0"/>
        </w:rPr>
        <w:endnoteReference w:id="62"/>
      </w:r>
    </w:p>
    <w:p w14:paraId="46DA6B15" w14:textId="77777777" w:rsidR="008A5BCE" w:rsidRPr="004F0121" w:rsidRDefault="008A5BCE" w:rsidP="008A5BCE">
      <w:pPr>
        <w:spacing w:after="240"/>
        <w:rPr>
          <w:rFonts w:cstheme="minorHAnsi"/>
        </w:rPr>
      </w:pPr>
      <w:r w:rsidRPr="00E239E6">
        <w:rPr>
          <w:rFonts w:cstheme="minorHAnsi"/>
        </w:rPr>
        <w:t>Re-thinking how participants and providers are incentivised through the scheme settings will therefore be critical in designing the long-term pric</w:t>
      </w:r>
      <w:r>
        <w:rPr>
          <w:rFonts w:cstheme="minorHAnsi"/>
        </w:rPr>
        <w:t>e</w:t>
      </w:r>
      <w:r w:rsidRPr="00E239E6">
        <w:rPr>
          <w:rFonts w:cstheme="minorHAnsi"/>
        </w:rPr>
        <w:t xml:space="preserve"> settings (</w:t>
      </w:r>
      <w:r w:rsidRPr="00BF5493">
        <w:rPr>
          <w:rFonts w:cstheme="minorHAnsi"/>
          <w:i/>
        </w:rPr>
        <w:t>Section 5</w:t>
      </w:r>
      <w:r w:rsidRPr="00E239E6">
        <w:rPr>
          <w:rFonts w:cstheme="minorHAnsi"/>
        </w:rPr>
        <w:t>).</w:t>
      </w:r>
    </w:p>
    <w:p w14:paraId="444ADC70" w14:textId="77777777" w:rsidR="008A5BCE" w:rsidRDefault="008A5BCE" w:rsidP="008A5BCE">
      <w:pPr>
        <w:pStyle w:val="Heading3"/>
        <w:rPr>
          <w:rFonts w:eastAsia="Times New Roman"/>
          <w:lang w:eastAsia="en-AU"/>
        </w:rPr>
      </w:pPr>
      <w:r w:rsidRPr="00B90E70">
        <w:rPr>
          <w:rFonts w:eastAsia="Times New Roman"/>
          <w:lang w:eastAsia="en-AU"/>
        </w:rPr>
        <w:lastRenderedPageBreak/>
        <w:t>P</w:t>
      </w:r>
      <w:r>
        <w:rPr>
          <w:rFonts w:eastAsia="Times New Roman"/>
          <w:lang w:eastAsia="en-AU"/>
        </w:rPr>
        <w:t>rice caps are not well aligned across the care and</w:t>
      </w:r>
      <w:r>
        <w:rPr>
          <w:rFonts w:eastAsia="Times New Roman"/>
          <w:lang w:eastAsia="en-AU"/>
        </w:rPr>
        <w:br/>
      </w:r>
      <w:r w:rsidRPr="00B90E70">
        <w:rPr>
          <w:rFonts w:eastAsia="Times New Roman"/>
          <w:lang w:eastAsia="en-AU"/>
        </w:rPr>
        <w:t>support sector</w:t>
      </w:r>
    </w:p>
    <w:p w14:paraId="06F77AC0" w14:textId="77777777" w:rsidR="008A5BCE" w:rsidRDefault="008A5BCE" w:rsidP="008A5BCE">
      <w:pPr>
        <w:rPr>
          <w:rFonts w:eastAsia="Times New Roman" w:cstheme="minorHAnsi"/>
          <w:lang w:eastAsia="en-AU"/>
        </w:rPr>
      </w:pPr>
      <w:r>
        <w:rPr>
          <w:rFonts w:eastAsia="Times New Roman" w:cstheme="minorHAnsi"/>
          <w:lang w:eastAsia="en-AU"/>
        </w:rPr>
        <w:t>Price caps are also used in the broader care and support sector, including in Commonwealth-funded</w:t>
      </w:r>
      <w:r w:rsidRPr="003F6077">
        <w:rPr>
          <w:rFonts w:eastAsia="Times New Roman" w:cstheme="minorHAnsi"/>
          <w:lang w:eastAsia="en-AU"/>
        </w:rPr>
        <w:t xml:space="preserve"> aged care and veterans</w:t>
      </w:r>
      <w:r>
        <w:rPr>
          <w:rFonts w:eastAsia="Times New Roman" w:cstheme="minorHAnsi"/>
          <w:lang w:eastAsia="en-AU"/>
        </w:rPr>
        <w:t>’</w:t>
      </w:r>
      <w:r w:rsidRPr="003F6077">
        <w:rPr>
          <w:rFonts w:eastAsia="Times New Roman" w:cstheme="minorHAnsi"/>
          <w:lang w:eastAsia="en-AU"/>
        </w:rPr>
        <w:t xml:space="preserve"> care</w:t>
      </w:r>
      <w:r>
        <w:rPr>
          <w:rFonts w:eastAsia="Times New Roman" w:cstheme="minorHAnsi"/>
          <w:lang w:eastAsia="en-AU"/>
        </w:rPr>
        <w:t xml:space="preserve"> sectors</w:t>
      </w:r>
      <w:r w:rsidRPr="003F6077">
        <w:rPr>
          <w:rFonts w:eastAsia="Times New Roman" w:cstheme="minorHAnsi"/>
          <w:lang w:eastAsia="en-AU"/>
        </w:rPr>
        <w:t xml:space="preserve">. </w:t>
      </w:r>
    </w:p>
    <w:p w14:paraId="5F2CC4DB" w14:textId="77777777" w:rsidR="008A5BCE" w:rsidRDefault="008A5BCE" w:rsidP="008A5BCE">
      <w:pPr>
        <w:rPr>
          <w:rFonts w:eastAsia="Times New Roman" w:cstheme="minorHAnsi"/>
          <w:lang w:eastAsia="en-AU"/>
        </w:rPr>
      </w:pPr>
      <w:r>
        <w:rPr>
          <w:rFonts w:eastAsia="Times New Roman" w:cstheme="minorHAnsi"/>
          <w:lang w:eastAsia="en-AU"/>
        </w:rPr>
        <w:t>However, there is no coordinated approach to setting prices across these sectors, and prices vary across programs.</w:t>
      </w:r>
      <w:r w:rsidRPr="007D40D5">
        <w:rPr>
          <w:rFonts w:eastAsia="Times New Roman" w:cstheme="minorHAnsi"/>
          <w:lang w:eastAsia="en-AU"/>
        </w:rPr>
        <w:t xml:space="preserve"> </w:t>
      </w:r>
      <w:r w:rsidRPr="003F6077">
        <w:rPr>
          <w:rFonts w:eastAsia="Times New Roman" w:cstheme="minorHAnsi"/>
          <w:lang w:eastAsia="en-AU"/>
        </w:rPr>
        <w:t xml:space="preserve">These differences can create a situation where </w:t>
      </w:r>
      <w:r>
        <w:rPr>
          <w:rFonts w:eastAsia="Times New Roman" w:cstheme="minorHAnsi"/>
          <w:lang w:eastAsia="en-AU"/>
        </w:rPr>
        <w:t>the G</w:t>
      </w:r>
      <w:r w:rsidRPr="003F6077">
        <w:rPr>
          <w:rFonts w:eastAsia="Times New Roman" w:cstheme="minorHAnsi"/>
          <w:lang w:eastAsia="en-AU"/>
        </w:rPr>
        <w:t xml:space="preserve">overnment is effectively </w:t>
      </w:r>
      <w:r>
        <w:rPr>
          <w:rFonts w:eastAsia="Times New Roman" w:cstheme="minorHAnsi"/>
          <w:lang w:eastAsia="en-AU"/>
        </w:rPr>
        <w:t>‘</w:t>
      </w:r>
      <w:r w:rsidRPr="003F6077">
        <w:rPr>
          <w:rFonts w:eastAsia="Times New Roman" w:cstheme="minorHAnsi"/>
          <w:lang w:eastAsia="en-AU"/>
        </w:rPr>
        <w:t>competing</w:t>
      </w:r>
      <w:r>
        <w:rPr>
          <w:rFonts w:eastAsia="Times New Roman" w:cstheme="minorHAnsi"/>
          <w:lang w:eastAsia="en-AU"/>
        </w:rPr>
        <w:t>’</w:t>
      </w:r>
      <w:r w:rsidRPr="003F6077">
        <w:rPr>
          <w:rFonts w:eastAsia="Times New Roman" w:cstheme="minorHAnsi"/>
          <w:lang w:eastAsia="en-AU"/>
        </w:rPr>
        <w:t xml:space="preserve"> with itself</w:t>
      </w:r>
      <w:r>
        <w:rPr>
          <w:rFonts w:eastAsia="Times New Roman" w:cstheme="minorHAnsi"/>
          <w:lang w:eastAsia="en-AU"/>
        </w:rPr>
        <w:t xml:space="preserve"> on prices across the care and support sector</w:t>
      </w:r>
      <w:r w:rsidRPr="003F6077">
        <w:rPr>
          <w:rFonts w:eastAsia="Times New Roman" w:cstheme="minorHAnsi"/>
          <w:lang w:eastAsia="en-AU"/>
        </w:rPr>
        <w:t xml:space="preserve">. </w:t>
      </w:r>
    </w:p>
    <w:p w14:paraId="5388ECBC" w14:textId="77777777" w:rsidR="00F61E68" w:rsidRDefault="008A5BCE" w:rsidP="008A5BCE">
      <w:pPr>
        <w:rPr>
          <w:rFonts w:eastAsia="Times New Roman" w:cstheme="minorHAnsi"/>
          <w:lang w:eastAsia="en-AU"/>
        </w:rPr>
      </w:pPr>
      <w:r>
        <w:rPr>
          <w:rFonts w:eastAsia="Times New Roman" w:cstheme="minorHAnsi"/>
          <w:lang w:eastAsia="en-AU"/>
        </w:rPr>
        <w:t xml:space="preserve">There could be benefit in considering whether prices could be more closely </w:t>
      </w:r>
      <w:r w:rsidRPr="003F6077">
        <w:rPr>
          <w:rFonts w:eastAsia="Times New Roman" w:cstheme="minorHAnsi"/>
          <w:lang w:eastAsia="en-AU"/>
        </w:rPr>
        <w:t>align</w:t>
      </w:r>
      <w:r>
        <w:rPr>
          <w:rFonts w:eastAsia="Times New Roman" w:cstheme="minorHAnsi"/>
          <w:lang w:eastAsia="en-AU"/>
        </w:rPr>
        <w:t>ed</w:t>
      </w:r>
      <w:r w:rsidRPr="003F6077">
        <w:rPr>
          <w:rFonts w:eastAsia="Times New Roman" w:cstheme="minorHAnsi"/>
          <w:lang w:eastAsia="en-AU"/>
        </w:rPr>
        <w:t xml:space="preserve"> across the care and support sector</w:t>
      </w:r>
      <w:r>
        <w:rPr>
          <w:rFonts w:eastAsia="Times New Roman" w:cstheme="minorHAnsi"/>
          <w:lang w:eastAsia="en-AU"/>
        </w:rPr>
        <w:t>, drawing on governments ‘buying power’. This</w:t>
      </w:r>
      <w:r w:rsidRPr="003F6077">
        <w:rPr>
          <w:rFonts w:eastAsia="Times New Roman" w:cstheme="minorHAnsi"/>
          <w:lang w:eastAsia="en-AU"/>
        </w:rPr>
        <w:t xml:space="preserve"> could support </w:t>
      </w:r>
      <w:r>
        <w:rPr>
          <w:rFonts w:eastAsia="Times New Roman" w:cstheme="minorHAnsi"/>
          <w:lang w:eastAsia="en-AU"/>
        </w:rPr>
        <w:t xml:space="preserve">scheme </w:t>
      </w:r>
      <w:r w:rsidRPr="003F6077">
        <w:rPr>
          <w:rFonts w:eastAsia="Times New Roman" w:cstheme="minorHAnsi"/>
          <w:lang w:eastAsia="en-AU"/>
        </w:rPr>
        <w:t>sustainability</w:t>
      </w:r>
      <w:r>
        <w:rPr>
          <w:rFonts w:eastAsia="Times New Roman" w:cstheme="minorHAnsi"/>
          <w:lang w:eastAsia="en-AU"/>
        </w:rPr>
        <w:t>, more efficient use of</w:t>
      </w:r>
      <w:r w:rsidRPr="003F6077">
        <w:rPr>
          <w:rFonts w:eastAsia="Times New Roman" w:cstheme="minorHAnsi"/>
          <w:lang w:eastAsia="en-AU"/>
        </w:rPr>
        <w:t xml:space="preserve"> government funding and </w:t>
      </w:r>
      <w:r>
        <w:rPr>
          <w:rFonts w:eastAsia="Times New Roman" w:cstheme="minorHAnsi"/>
          <w:lang w:eastAsia="en-AU"/>
        </w:rPr>
        <w:t>ensure that providers and workers are not deterred from offering services to different sectors, on the basis of different pricing</w:t>
      </w:r>
      <w:r w:rsidRPr="003F6077">
        <w:rPr>
          <w:rFonts w:eastAsia="Times New Roman" w:cstheme="minorHAnsi"/>
          <w:lang w:eastAsia="en-AU"/>
        </w:rPr>
        <w:t>.</w:t>
      </w:r>
    </w:p>
    <w:p w14:paraId="46EEC6B5" w14:textId="77777777" w:rsidR="00F61E68" w:rsidRDefault="00F61E68">
      <w:pPr>
        <w:spacing w:after="200" w:line="288" w:lineRule="auto"/>
        <w:rPr>
          <w:rFonts w:eastAsia="Times New Roman" w:cstheme="minorHAnsi"/>
          <w:lang w:eastAsia="en-AU"/>
        </w:rPr>
      </w:pPr>
      <w:r>
        <w:rPr>
          <w:rFonts w:eastAsia="Times New Roman" w:cstheme="minorHAnsi"/>
          <w:lang w:eastAsia="en-AU"/>
        </w:rPr>
        <w:br w:type="page"/>
      </w:r>
    </w:p>
    <w:p w14:paraId="5149E27F" w14:textId="0D0C625B" w:rsidR="00F61E68" w:rsidRPr="00D82172" w:rsidRDefault="00F61E68" w:rsidP="00012A6F">
      <w:pPr>
        <w:pStyle w:val="B1-Heading1"/>
        <w:outlineLvl w:val="2"/>
        <w:rPr>
          <w:i/>
        </w:rPr>
      </w:pPr>
      <w:r w:rsidRPr="00F325AD">
        <w:lastRenderedPageBreak/>
        <w:t>Finding 1</w:t>
      </w:r>
      <w:r w:rsidR="00F325AD" w:rsidRPr="00F325AD">
        <w:t>:</w:t>
      </w:r>
      <w:r w:rsidR="00F325AD">
        <w:rPr>
          <w:i/>
        </w:rPr>
        <w:t xml:space="preserve"> </w:t>
      </w:r>
      <w:r w:rsidRPr="00BF7FD4">
        <w:t>There are opportunities to improve NDIS pricing arrangements over the short- to medium-term</w:t>
      </w:r>
    </w:p>
    <w:p w14:paraId="1A830CB0" w14:textId="77777777" w:rsidR="00F61E68" w:rsidRDefault="00F61E68" w:rsidP="009D296A">
      <w:pPr>
        <w:pStyle w:val="B1-Body"/>
      </w:pPr>
      <w:r>
        <w:t xml:space="preserve">Price caps are set based on poor quality and incomplete data, and are applied bluntly in the NDIS. </w:t>
      </w:r>
    </w:p>
    <w:p w14:paraId="308A7AA7" w14:textId="77777777" w:rsidR="00F61E68" w:rsidRDefault="00F61E68" w:rsidP="009D296A">
      <w:pPr>
        <w:pStyle w:val="B1-Body"/>
      </w:pPr>
      <w:r>
        <w:t>Price caps are not supporting the development of a responsive and innovative market. Providers have little incentive to compete on price or quality, with price caps acting more as a ‘price anchor’ than a ‘price ceiling’. Without normal competitive market pressures from participants, price caps and other price controls provide an important constraint on how much participants are charged; and will continue to be needed over the short and medium term.</w:t>
      </w:r>
    </w:p>
    <w:p w14:paraId="4B9033C8" w14:textId="77777777" w:rsidR="00F61E68" w:rsidRDefault="00F61E68" w:rsidP="009D296A">
      <w:pPr>
        <w:pStyle w:val="B1-Body"/>
      </w:pPr>
      <w:r>
        <w:t xml:space="preserve">That said, there are significant opportunities to improve how price caps and price controls are set. The use of different pricing approaches could also be more effective than the current price controls. </w:t>
      </w:r>
    </w:p>
    <w:p w14:paraId="761F54B2" w14:textId="77777777" w:rsidR="00F61E68" w:rsidRPr="00BF7FD4" w:rsidRDefault="00F61E68" w:rsidP="00012A6F">
      <w:pPr>
        <w:pStyle w:val="B1-Heading2"/>
        <w:outlineLvl w:val="3"/>
      </w:pPr>
      <w:r w:rsidRPr="00BF7FD4">
        <w:t>Focus areas for further consultation</w:t>
      </w:r>
    </w:p>
    <w:p w14:paraId="2B013716" w14:textId="77777777" w:rsidR="00F61E68" w:rsidRDefault="00F61E68" w:rsidP="009D296A">
      <w:pPr>
        <w:pStyle w:val="B1-Body"/>
      </w:pPr>
      <w:r>
        <w:t>To improve NDIS pricing arrangements over the short to medium term, there may be benefits in exploring options such as:</w:t>
      </w:r>
    </w:p>
    <w:p w14:paraId="68AB1BBC" w14:textId="77777777" w:rsidR="00F61E68" w:rsidRDefault="00F61E68" w:rsidP="002D26D4">
      <w:pPr>
        <w:pStyle w:val="B1-Listbullets"/>
      </w:pPr>
      <w:r>
        <w:t xml:space="preserve">Ensuring that the setting of price caps is transparent, including greater use of market data and independent price monitoring and/or price setting. This could ensure NDIS price caps better reflect efficient prices, strengthen confidence in the price setting process, and support ongoing investment in the sector. </w:t>
      </w:r>
    </w:p>
    <w:p w14:paraId="0753E5D9" w14:textId="77777777" w:rsidR="00F61E68" w:rsidRDefault="00F61E68" w:rsidP="002D26D4">
      <w:pPr>
        <w:pStyle w:val="B1-Listbullets"/>
      </w:pPr>
      <w:r>
        <w:t>Further differentiating price caps to reflect the additional costs involved in delivering services to participants with more complex needs and in regional areas. If this can be achieved without creating excessive administrative burden, it could improve supply and access to quality supports for participants.</w:t>
      </w:r>
    </w:p>
    <w:p w14:paraId="38A5748C" w14:textId="77777777" w:rsidR="00F61E68" w:rsidRDefault="00F61E68" w:rsidP="002D26D4">
      <w:pPr>
        <w:pStyle w:val="B1-Listbullets"/>
      </w:pPr>
      <w:r>
        <w:t xml:space="preserve">Implementing ‘preferred provider’ panel arrangements – where providers agree to supply supports at an agreed price and on agreed terms – as a possible alternative to price cap arrangements for certain NDIS supports. The NDIA could leverage its ‘buying power’ to negotiate prices with providers. This could provide a simplified option for participants in accessing supports, without limiting their choice. </w:t>
      </w:r>
    </w:p>
    <w:p w14:paraId="3E74F9F9" w14:textId="77777777" w:rsidR="00F61E68" w:rsidRPr="00866E3A" w:rsidRDefault="00F61E68" w:rsidP="009D296A">
      <w:pPr>
        <w:pStyle w:val="B1-Body"/>
        <w:rPr>
          <w:b/>
          <w:i/>
        </w:rPr>
      </w:pPr>
      <w:r w:rsidRPr="00866E3A">
        <w:rPr>
          <w:b/>
          <w:i/>
        </w:rPr>
        <w:t>We want to hear from you about the above a</w:t>
      </w:r>
      <w:r w:rsidR="00644845" w:rsidRPr="00866E3A">
        <w:rPr>
          <w:b/>
          <w:i/>
        </w:rPr>
        <w:t>nd other options to improve the</w:t>
      </w:r>
      <w:r w:rsidR="00644845" w:rsidRPr="00866E3A">
        <w:rPr>
          <w:b/>
          <w:i/>
        </w:rPr>
        <w:br/>
      </w:r>
      <w:r w:rsidRPr="00866E3A">
        <w:rPr>
          <w:b/>
          <w:i/>
        </w:rPr>
        <w:t>NDIS pricing arrangements.</w:t>
      </w:r>
      <w:r w:rsidRPr="00866E3A">
        <w:rPr>
          <w:b/>
          <w:i/>
        </w:rPr>
        <w:br w:type="page"/>
      </w:r>
    </w:p>
    <w:p w14:paraId="28A69A81" w14:textId="77777777" w:rsidR="00F61E68" w:rsidRPr="002E158B" w:rsidRDefault="00F61E68" w:rsidP="00F61E68">
      <w:pPr>
        <w:pStyle w:val="Heading2"/>
        <w:numPr>
          <w:ilvl w:val="0"/>
          <w:numId w:val="26"/>
        </w:numPr>
      </w:pPr>
      <w:bookmarkStart w:id="264" w:name="_Toc131502167"/>
      <w:bookmarkStart w:id="265" w:name="_Toc131580663"/>
      <w:bookmarkStart w:id="266" w:name="_Toc131596908"/>
      <w:bookmarkStart w:id="267" w:name="_Toc131602771"/>
      <w:bookmarkStart w:id="268" w:name="_Toc131613592"/>
      <w:bookmarkStart w:id="269" w:name="_Toc131621600"/>
      <w:bookmarkStart w:id="270" w:name="_Toc131631054"/>
      <w:bookmarkStart w:id="271" w:name="_Toc131674150"/>
      <w:bookmarkStart w:id="272" w:name="_Toc131679198"/>
      <w:bookmarkStart w:id="273" w:name="_Toc131682017"/>
      <w:bookmarkStart w:id="274" w:name="_Toc131685024"/>
      <w:bookmarkStart w:id="275" w:name="_Toc131686298"/>
      <w:bookmarkStart w:id="276" w:name="_Toc132205307"/>
      <w:bookmarkStart w:id="277" w:name="_Toc132205417"/>
      <w:bookmarkStart w:id="278" w:name="_Toc132213577"/>
      <w:bookmarkStart w:id="279" w:name="_Toc132217939"/>
      <w:bookmarkStart w:id="280" w:name="_Toc132230944"/>
      <w:bookmarkStart w:id="281" w:name="_Toc132235055"/>
      <w:bookmarkStart w:id="282" w:name="_Toc132371374"/>
      <w:bookmarkStart w:id="283" w:name="_Toc132375321"/>
      <w:bookmarkStart w:id="284" w:name="_Toc132378673"/>
      <w:bookmarkStart w:id="285" w:name="_Toc132387988"/>
      <w:bookmarkStart w:id="286" w:name="_Toc132389788"/>
      <w:bookmarkStart w:id="287" w:name="_Toc132458022"/>
      <w:bookmarkStart w:id="288" w:name="_Toc132474963"/>
      <w:bookmarkStart w:id="289" w:name="_Toc132620283"/>
      <w:bookmarkStart w:id="290" w:name="_Toc132622470"/>
      <w:bookmarkStart w:id="291" w:name="_Toc132623272"/>
      <w:bookmarkStart w:id="292" w:name="_Toc132624478"/>
      <w:bookmarkStart w:id="293" w:name="_Toc132635189"/>
      <w:bookmarkStart w:id="294" w:name="_Toc134122491"/>
      <w:bookmarkStart w:id="295" w:name="_Toc134621120"/>
      <w:bookmarkStart w:id="296" w:name="_Toc135390390"/>
      <w:r w:rsidRPr="002E158B">
        <w:lastRenderedPageBreak/>
        <w:t>Providers change their service offerings in response to payment appro</w:t>
      </w:r>
      <w:r>
        <w:t>a</w:t>
      </w:r>
      <w:r w:rsidRPr="002E158B">
        <w:t>ches</w:t>
      </w:r>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p>
    <w:p w14:paraId="1A820090" w14:textId="77777777" w:rsidR="00F61E68" w:rsidRDefault="00F61E68" w:rsidP="00F61E68">
      <w:pPr>
        <w:pStyle w:val="Quote"/>
        <w:keepNext/>
        <w:keepLines/>
        <w:rPr>
          <w:rFonts w:eastAsia="Times New Roman" w:cstheme="minorHAnsi"/>
          <w:lang w:val="en-US" w:eastAsia="en-AU"/>
        </w:rPr>
      </w:pPr>
      <w:r>
        <w:rPr>
          <w:rFonts w:eastAsia="Times New Roman" w:cstheme="minorHAnsi"/>
          <w:lang w:val="en-US" w:eastAsia="en-AU"/>
        </w:rPr>
        <w:t>‘</w:t>
      </w:r>
      <w:r w:rsidRPr="00F61E68">
        <w:rPr>
          <w:rFonts w:eastAsia="Times New Roman" w:cstheme="minorHAnsi"/>
          <w:b/>
          <w:color w:val="8F578F" w:themeColor="text2" w:themeShade="BF"/>
          <w:lang w:val="en-US" w:eastAsia="en-AU"/>
        </w:rPr>
        <w:t>Currently providers are paid based on the services they provide, rather the benefits of those services to participants</w:t>
      </w:r>
      <w:r w:rsidRPr="00E239E6">
        <w:rPr>
          <w:rFonts w:eastAsia="Times New Roman" w:cstheme="minorHAnsi"/>
          <w:lang w:val="en-US" w:eastAsia="en-AU"/>
        </w:rPr>
        <w:t>. Providers should be rewarded for helping to achieve participant goals. This would benefit the providers who provide high-quality services, and it increases the focus for Government, the NDIS and providers on building the long-ter</w:t>
      </w:r>
      <w:r>
        <w:rPr>
          <w:rFonts w:eastAsia="Times New Roman" w:cstheme="minorHAnsi"/>
          <w:lang w:val="en-US" w:eastAsia="en-AU"/>
        </w:rPr>
        <w:t>m capabilities of participants.’</w:t>
      </w:r>
    </w:p>
    <w:p w14:paraId="085C428C" w14:textId="77777777" w:rsidR="00F61E68" w:rsidRPr="00423AB7" w:rsidRDefault="00F61E68" w:rsidP="00F61E68">
      <w:pPr>
        <w:pStyle w:val="Quote"/>
        <w:rPr>
          <w:rFonts w:eastAsia="Times New Roman"/>
          <w:lang w:val="en-US" w:eastAsia="en-AU"/>
        </w:rPr>
      </w:pPr>
      <w:r>
        <w:rPr>
          <w:rFonts w:eastAsia="Times New Roman"/>
          <w:lang w:val="en-US" w:eastAsia="en-AU"/>
        </w:rPr>
        <w:t xml:space="preserve">– </w:t>
      </w:r>
      <w:r w:rsidRPr="006878DC">
        <w:rPr>
          <w:rFonts w:eastAsia="Times New Roman"/>
          <w:lang w:eastAsia="en-AU"/>
        </w:rPr>
        <w:t xml:space="preserve">Get </w:t>
      </w:r>
      <w:r w:rsidRPr="00F61E68">
        <w:t>Skilled</w:t>
      </w:r>
      <w:r w:rsidRPr="006878DC">
        <w:rPr>
          <w:rFonts w:eastAsia="Times New Roman"/>
          <w:lang w:eastAsia="en-AU"/>
        </w:rPr>
        <w:t xml:space="preserve"> Access</w:t>
      </w:r>
      <w:r>
        <w:rPr>
          <w:rStyle w:val="EndnoteReference"/>
          <w:rFonts w:eastAsia="Times New Roman" w:cstheme="minorHAnsi"/>
          <w:i w:val="0"/>
          <w:lang w:eastAsia="en-AU"/>
        </w:rPr>
        <w:endnoteReference w:id="63"/>
      </w:r>
    </w:p>
    <w:p w14:paraId="5671AB1B" w14:textId="77777777" w:rsidR="00F61E68" w:rsidRDefault="00F61E68" w:rsidP="00F61E68">
      <w:pPr>
        <w:rPr>
          <w:rFonts w:eastAsia="Times New Roman" w:cstheme="minorHAnsi"/>
          <w:lang w:val="en-US"/>
        </w:rPr>
      </w:pPr>
      <w:r w:rsidRPr="00E239E6">
        <w:rPr>
          <w:rFonts w:eastAsia="Times New Roman" w:cstheme="minorHAnsi"/>
          <w:lang w:val="en-US"/>
        </w:rPr>
        <w:t xml:space="preserve">While price </w:t>
      </w:r>
      <w:r>
        <w:rPr>
          <w:rFonts w:eastAsia="Times New Roman" w:cstheme="minorHAnsi"/>
          <w:lang w:val="en-US"/>
        </w:rPr>
        <w:t>caps and controls</w:t>
      </w:r>
      <w:r w:rsidRPr="00E239E6">
        <w:rPr>
          <w:rFonts w:eastAsia="Times New Roman" w:cstheme="minorHAnsi"/>
          <w:lang w:val="en-US"/>
        </w:rPr>
        <w:t xml:space="preserve"> </w:t>
      </w:r>
      <w:r>
        <w:rPr>
          <w:rFonts w:eastAsia="Times New Roman" w:cstheme="minorHAnsi"/>
          <w:lang w:val="en-US"/>
        </w:rPr>
        <w:t xml:space="preserve">are important, how we pay providers also matters. The interplay between pricing and payment approaches has a critical role in what supports are supplied to the market and the outcomes achieved for participants. </w:t>
      </w:r>
    </w:p>
    <w:p w14:paraId="61BE1821" w14:textId="77777777" w:rsidR="00F61E68" w:rsidRPr="00E239E6" w:rsidRDefault="00F61E68" w:rsidP="00F61E68">
      <w:pPr>
        <w:rPr>
          <w:rFonts w:eastAsia="Times New Roman" w:cstheme="minorHAnsi"/>
          <w:lang w:eastAsia="en-AU"/>
        </w:rPr>
      </w:pPr>
      <w:r w:rsidRPr="00E239E6">
        <w:rPr>
          <w:rFonts w:eastAsia="Times New Roman" w:cstheme="minorHAnsi"/>
          <w:lang w:val="en-US"/>
        </w:rPr>
        <w:t xml:space="preserve">The pricing and payment approach </w:t>
      </w:r>
      <w:r>
        <w:rPr>
          <w:rFonts w:eastAsia="Times New Roman" w:cstheme="minorHAnsi"/>
          <w:lang w:val="en-US"/>
        </w:rPr>
        <w:t xml:space="preserve">used in the NDIS is centred on </w:t>
      </w:r>
      <w:r w:rsidRPr="00E239E6">
        <w:rPr>
          <w:rFonts w:eastAsia="Times New Roman" w:cstheme="minorHAnsi"/>
          <w:lang w:val="en-US"/>
        </w:rPr>
        <w:t xml:space="preserve">a </w:t>
      </w:r>
      <w:r w:rsidRPr="00E239E6">
        <w:rPr>
          <w:rFonts w:eastAsia="Times New Roman" w:cstheme="minorHAnsi"/>
        </w:rPr>
        <w:t>market</w:t>
      </w:r>
      <w:r>
        <w:rPr>
          <w:rFonts w:eastAsia="Times New Roman" w:cstheme="minorHAnsi"/>
        </w:rPr>
        <w:t>-</w:t>
      </w:r>
      <w:r w:rsidRPr="00E239E6">
        <w:rPr>
          <w:rFonts w:eastAsia="Times New Roman" w:cstheme="minorHAnsi"/>
        </w:rPr>
        <w:t xml:space="preserve">based model, </w:t>
      </w:r>
      <w:r>
        <w:rPr>
          <w:rFonts w:eastAsia="Times New Roman" w:cstheme="minorHAnsi"/>
        </w:rPr>
        <w:t xml:space="preserve">which includes </w:t>
      </w:r>
      <w:r w:rsidRPr="00E239E6">
        <w:rPr>
          <w:rFonts w:eastAsia="Times New Roman" w:cstheme="minorHAnsi"/>
        </w:rPr>
        <w:t xml:space="preserve">fee-for-service </w:t>
      </w:r>
      <w:r>
        <w:rPr>
          <w:rFonts w:eastAsia="Times New Roman" w:cstheme="minorHAnsi"/>
        </w:rPr>
        <w:t>payments and capped prices for supports (</w:t>
      </w:r>
      <w:r w:rsidRPr="00243F5D">
        <w:rPr>
          <w:rFonts w:eastAsia="Times New Roman" w:cstheme="minorHAnsi"/>
          <w:i/>
        </w:rPr>
        <w:t>Figure 12</w:t>
      </w:r>
      <w:r>
        <w:rPr>
          <w:rFonts w:eastAsia="Times New Roman" w:cstheme="minorHAnsi"/>
        </w:rPr>
        <w:t>)</w:t>
      </w:r>
      <w:r w:rsidRPr="00E239E6">
        <w:rPr>
          <w:rFonts w:eastAsia="Times New Roman" w:cstheme="minorHAnsi"/>
        </w:rPr>
        <w:t>.</w:t>
      </w:r>
    </w:p>
    <w:p w14:paraId="54B0845A" w14:textId="77777777" w:rsidR="00F61E68" w:rsidRPr="00E239E6" w:rsidRDefault="00F61E68" w:rsidP="00C53CA3">
      <w:pPr>
        <w:pStyle w:val="Figure"/>
      </w:pPr>
      <w:r w:rsidRPr="00CB1BCB">
        <w:t>The NDIS pricing and payment approach</w:t>
      </w:r>
    </w:p>
    <w:p w14:paraId="12D24CC9" w14:textId="77777777" w:rsidR="00D7519C" w:rsidRDefault="00F61E68" w:rsidP="008A5BCE">
      <w:r w:rsidRPr="00F61E68">
        <w:rPr>
          <w:noProof/>
          <w:lang w:eastAsia="en-AU"/>
        </w:rPr>
        <w:drawing>
          <wp:inline distT="0" distB="0" distL="0" distR="0" wp14:anchorId="15E66E0E" wp14:editId="4418BB72">
            <wp:extent cx="6120130" cy="922727"/>
            <wp:effectExtent l="0" t="0" r="0" b="0"/>
            <wp:docPr id="15" name="Picture 15" descr="An infographic outlining the current pricing and payment approach in the NDIS: 'Clients’ currently determine where the payment goes; Price caps and other price controls currently set the level of payment; Fee-for-service is currently used as the payment model to pay provi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120130" cy="922727"/>
                    </a:xfrm>
                    <a:prstGeom prst="rect">
                      <a:avLst/>
                    </a:prstGeom>
                    <a:noFill/>
                    <a:ln>
                      <a:noFill/>
                    </a:ln>
                  </pic:spPr>
                </pic:pic>
              </a:graphicData>
            </a:graphic>
          </wp:inline>
        </w:drawing>
      </w:r>
    </w:p>
    <w:p w14:paraId="28D87790" w14:textId="77777777" w:rsidR="00F61E68" w:rsidRDefault="00F61E68" w:rsidP="00F61E68">
      <w:pPr>
        <w:pStyle w:val="Heading3"/>
      </w:pPr>
      <w:r>
        <w:t xml:space="preserve">Fee-for-service and alternative payment approaches </w:t>
      </w:r>
    </w:p>
    <w:p w14:paraId="136FA02A" w14:textId="77777777" w:rsidR="00F61E68" w:rsidRDefault="00F61E68" w:rsidP="00F61E68">
      <w:pPr>
        <w:rPr>
          <w:rFonts w:cstheme="minorHAnsi"/>
        </w:rPr>
      </w:pPr>
      <w:r w:rsidRPr="00E239E6">
        <w:rPr>
          <w:rFonts w:cstheme="minorHAnsi"/>
        </w:rPr>
        <w:t xml:space="preserve">The NDIS operates </w:t>
      </w:r>
      <w:r>
        <w:rPr>
          <w:rFonts w:cstheme="minorHAnsi"/>
        </w:rPr>
        <w:t>largely through a fee-for-service payment model. P</w:t>
      </w:r>
      <w:r w:rsidRPr="00E239E6">
        <w:rPr>
          <w:rFonts w:cstheme="minorHAnsi"/>
        </w:rPr>
        <w:t xml:space="preserve">roviders are paid for each </w:t>
      </w:r>
      <w:r>
        <w:rPr>
          <w:rFonts w:cstheme="minorHAnsi"/>
        </w:rPr>
        <w:t>unit of service</w:t>
      </w:r>
      <w:r w:rsidRPr="00E239E6">
        <w:rPr>
          <w:rFonts w:cstheme="minorHAnsi"/>
        </w:rPr>
        <w:t xml:space="preserve"> delivered</w:t>
      </w:r>
      <w:r w:rsidRPr="3DFFC190">
        <w:rPr>
          <w:rFonts w:eastAsia="Times New Roman"/>
          <w:lang w:eastAsia="en-AU"/>
        </w:rPr>
        <w:t>, rather than the benefits of those services to participants</w:t>
      </w:r>
      <w:r>
        <w:rPr>
          <w:rFonts w:cstheme="minorHAnsi"/>
        </w:rPr>
        <w:t xml:space="preserve">. </w:t>
      </w:r>
    </w:p>
    <w:p w14:paraId="3C601E5C" w14:textId="77777777" w:rsidR="00F61E68" w:rsidRDefault="00F61E68" w:rsidP="00F61E68">
      <w:pPr>
        <w:rPr>
          <w:rFonts w:eastAsia="Times New Roman"/>
          <w:lang w:eastAsia="en-AU"/>
        </w:rPr>
      </w:pPr>
      <w:r>
        <w:lastRenderedPageBreak/>
        <w:t>This</w:t>
      </w:r>
      <w:r w:rsidRPr="00DE659A">
        <w:t xml:space="preserve"> approach is </w:t>
      </w:r>
      <w:r>
        <w:t>easy</w:t>
      </w:r>
      <w:r w:rsidRPr="00DE659A">
        <w:t xml:space="preserve"> to administer and understand. However, </w:t>
      </w:r>
      <w:r>
        <w:t xml:space="preserve">it </w:t>
      </w:r>
      <w:r w:rsidRPr="00DE659A">
        <w:t xml:space="preserve">rewards providers for </w:t>
      </w:r>
      <w:r>
        <w:t>the volume</w:t>
      </w:r>
      <w:r w:rsidRPr="00DE659A">
        <w:t xml:space="preserve"> of service they deliver, regardless of the ‘value’ for participants.</w:t>
      </w:r>
      <w:r w:rsidRPr="00935718">
        <w:rPr>
          <w:rFonts w:eastAsia="Times New Roman"/>
          <w:lang w:eastAsia="en-AU"/>
        </w:rPr>
        <w:t xml:space="preserve"> </w:t>
      </w:r>
      <w:r w:rsidRPr="3DFFC190">
        <w:rPr>
          <w:rFonts w:eastAsia="Times New Roman"/>
          <w:lang w:eastAsia="en-AU"/>
        </w:rPr>
        <w:t xml:space="preserve">Providers </w:t>
      </w:r>
      <w:r>
        <w:rPr>
          <w:rFonts w:eastAsia="Times New Roman"/>
          <w:lang w:eastAsia="en-AU"/>
        </w:rPr>
        <w:t>have a financial incentive to provide more and more services and/or increase staff ratios regardless of the benefit</w:t>
      </w:r>
      <w:r w:rsidRPr="3DFFC190">
        <w:rPr>
          <w:rFonts w:eastAsia="Times New Roman"/>
          <w:lang w:eastAsia="en-AU"/>
        </w:rPr>
        <w:t>.</w:t>
      </w:r>
    </w:p>
    <w:p w14:paraId="4E79849D" w14:textId="77777777" w:rsidR="00F61E68" w:rsidRDefault="00F61E68" w:rsidP="00F61E68">
      <w:pPr>
        <w:rPr>
          <w:rFonts w:cstheme="minorHAnsi"/>
        </w:rPr>
      </w:pPr>
      <w:r w:rsidRPr="00E239E6">
        <w:rPr>
          <w:rFonts w:cstheme="minorHAnsi"/>
        </w:rPr>
        <w:t xml:space="preserve">There could be benefits from shifting away from the one-size-fits-all, fee-for-service payment approach in the NDIS. </w:t>
      </w:r>
    </w:p>
    <w:p w14:paraId="26E16908" w14:textId="77777777" w:rsidR="00F61E68" w:rsidRDefault="00F61E68" w:rsidP="00F61E68">
      <w:pPr>
        <w:rPr>
          <w:rFonts w:cstheme="minorHAnsi"/>
        </w:rPr>
      </w:pPr>
      <w:r>
        <w:rPr>
          <w:rFonts w:cstheme="minorHAnsi"/>
        </w:rPr>
        <w:t>While fee-for-service is a common way to pay providers of social services, there are alternative payment approaches, which are used across different social markets (</w:t>
      </w:r>
      <w:r w:rsidRPr="00464E22">
        <w:rPr>
          <w:rFonts w:cstheme="minorHAnsi"/>
          <w:i/>
        </w:rPr>
        <w:t>Figure</w:t>
      </w:r>
      <w:r>
        <w:rPr>
          <w:rFonts w:cstheme="minorHAnsi"/>
          <w:i/>
        </w:rPr>
        <w:t> </w:t>
      </w:r>
      <w:r w:rsidRPr="00464E22">
        <w:rPr>
          <w:rFonts w:cstheme="minorHAnsi"/>
          <w:i/>
        </w:rPr>
        <w:t>13</w:t>
      </w:r>
      <w:r w:rsidRPr="00E814C7">
        <w:rPr>
          <w:rFonts w:cstheme="minorHAnsi"/>
        </w:rPr>
        <w:t>).</w:t>
      </w:r>
      <w:r w:rsidRPr="00E814C7">
        <w:rPr>
          <w:rStyle w:val="EndnoteReference"/>
        </w:rPr>
        <w:endnoteReference w:id="64"/>
      </w:r>
      <w:r>
        <w:rPr>
          <w:rFonts w:cstheme="minorHAnsi"/>
        </w:rPr>
        <w:t xml:space="preserve"> Each payment approach has </w:t>
      </w:r>
      <w:r>
        <w:t xml:space="preserve">advantages and disadvantages and </w:t>
      </w:r>
      <w:r w:rsidRPr="00FE2758">
        <w:rPr>
          <w:rFonts w:cstheme="minorHAnsi"/>
        </w:rPr>
        <w:t>rewards different sorts of behaviour</w:t>
      </w:r>
      <w:r>
        <w:rPr>
          <w:rFonts w:cstheme="minorHAnsi"/>
        </w:rPr>
        <w:t xml:space="preserve"> by providers.</w:t>
      </w:r>
    </w:p>
    <w:p w14:paraId="30872442" w14:textId="77777777" w:rsidR="00F61E68" w:rsidRDefault="00F61E68" w:rsidP="00F61E68">
      <w:pPr>
        <w:rPr>
          <w:rFonts w:cstheme="minorHAnsi"/>
        </w:rPr>
      </w:pPr>
      <w:r>
        <w:rPr>
          <w:rFonts w:cstheme="minorHAnsi"/>
        </w:rPr>
        <w:t>For example, activity-based payments</w:t>
      </w:r>
      <w:r w:rsidRPr="00047FF7">
        <w:rPr>
          <w:rFonts w:cstheme="minorHAnsi"/>
        </w:rPr>
        <w:t xml:space="preserve"> </w:t>
      </w:r>
      <w:r>
        <w:rPr>
          <w:rFonts w:cstheme="minorHAnsi"/>
        </w:rPr>
        <w:t xml:space="preserve">are </w:t>
      </w:r>
      <w:r w:rsidRPr="00047FF7">
        <w:rPr>
          <w:rFonts w:cstheme="minorHAnsi"/>
        </w:rPr>
        <w:t>used</w:t>
      </w:r>
      <w:r>
        <w:rPr>
          <w:rFonts w:cstheme="minorHAnsi"/>
        </w:rPr>
        <w:t xml:space="preserve"> to pay </w:t>
      </w:r>
      <w:r w:rsidRPr="00047FF7">
        <w:rPr>
          <w:rFonts w:cstheme="minorHAnsi"/>
        </w:rPr>
        <w:t xml:space="preserve">public hospital and aged care </w:t>
      </w:r>
      <w:r>
        <w:rPr>
          <w:rFonts w:cstheme="minorHAnsi"/>
        </w:rPr>
        <w:t>providers</w:t>
      </w:r>
      <w:r w:rsidRPr="00047FF7">
        <w:rPr>
          <w:rFonts w:cstheme="minorHAnsi"/>
        </w:rPr>
        <w:t xml:space="preserve"> </w:t>
      </w:r>
      <w:r>
        <w:rPr>
          <w:rFonts w:cstheme="minorHAnsi"/>
        </w:rPr>
        <w:t>under the</w:t>
      </w:r>
      <w:r w:rsidRPr="00047FF7">
        <w:rPr>
          <w:rFonts w:cstheme="minorHAnsi"/>
        </w:rPr>
        <w:t xml:space="preserve"> Australian National Aged Care Classification (AN-ACC) </w:t>
      </w:r>
      <w:r>
        <w:rPr>
          <w:rFonts w:cstheme="minorHAnsi"/>
        </w:rPr>
        <w:t>(introduced</w:t>
      </w:r>
      <w:r w:rsidRPr="00665984">
        <w:rPr>
          <w:rFonts w:cstheme="minorHAnsi"/>
        </w:rPr>
        <w:t xml:space="preserve"> in October 2022</w:t>
      </w:r>
      <w:r>
        <w:rPr>
          <w:rFonts w:cstheme="minorHAnsi"/>
        </w:rPr>
        <w:t>)</w:t>
      </w:r>
      <w:r w:rsidRPr="00665984">
        <w:rPr>
          <w:rFonts w:cstheme="minorHAnsi"/>
        </w:rPr>
        <w:t>.</w:t>
      </w:r>
      <w:r>
        <w:rPr>
          <w:rFonts w:cstheme="minorHAnsi"/>
        </w:rPr>
        <w:t xml:space="preserve"> </w:t>
      </w:r>
      <w:r w:rsidRPr="00450DA5">
        <w:rPr>
          <w:rFonts w:cstheme="minorHAnsi"/>
        </w:rPr>
        <w:t xml:space="preserve">While </w:t>
      </w:r>
      <w:r>
        <w:rPr>
          <w:rFonts w:cstheme="minorHAnsi"/>
        </w:rPr>
        <w:t>a form of fee-for-</w:t>
      </w:r>
      <w:r w:rsidRPr="00450DA5">
        <w:rPr>
          <w:rFonts w:cstheme="minorHAnsi"/>
        </w:rPr>
        <w:t xml:space="preserve">service, </w:t>
      </w:r>
      <w:r>
        <w:rPr>
          <w:rFonts w:cstheme="minorHAnsi"/>
        </w:rPr>
        <w:t xml:space="preserve">activity-based </w:t>
      </w:r>
      <w:r w:rsidRPr="00450DA5">
        <w:rPr>
          <w:rFonts w:cstheme="minorHAnsi"/>
        </w:rPr>
        <w:t>payments cover a bundle of service</w:t>
      </w:r>
      <w:r>
        <w:rPr>
          <w:rFonts w:cstheme="minorHAnsi"/>
        </w:rPr>
        <w:t xml:space="preserve">s provided rather </w:t>
      </w:r>
      <w:r w:rsidRPr="00450DA5">
        <w:rPr>
          <w:rFonts w:cstheme="minorHAnsi"/>
        </w:rPr>
        <w:t>than each individual service</w:t>
      </w:r>
      <w:r>
        <w:rPr>
          <w:rFonts w:cstheme="minorHAnsi"/>
        </w:rPr>
        <w:t>. For example, for public hospitals this may include the</w:t>
      </w:r>
      <w:r w:rsidRPr="000B30B3">
        <w:rPr>
          <w:rFonts w:cstheme="minorHAnsi"/>
        </w:rPr>
        <w:t xml:space="preserve"> accommodation, surgery, pathology, nursing and</w:t>
      </w:r>
      <w:r>
        <w:rPr>
          <w:rFonts w:cstheme="minorHAnsi"/>
        </w:rPr>
        <w:t xml:space="preserve"> medicines costs </w:t>
      </w:r>
      <w:r w:rsidRPr="0002114E">
        <w:rPr>
          <w:rFonts w:cstheme="minorHAnsi"/>
        </w:rPr>
        <w:t>for an episode of care</w:t>
      </w:r>
      <w:r>
        <w:rPr>
          <w:rFonts w:cstheme="minorHAnsi"/>
        </w:rPr>
        <w:t xml:space="preserve">. When compared to a fee-for-service payment, activity-based payments strengthen incentives for providers to reduce costs. </w:t>
      </w:r>
      <w:r w:rsidRPr="0002114E">
        <w:rPr>
          <w:rFonts w:cstheme="minorHAnsi"/>
        </w:rPr>
        <w:t xml:space="preserve">Activity-based funding, however, can be more complex to administer and requires more detailed data. </w:t>
      </w:r>
    </w:p>
    <w:p w14:paraId="4B86D556" w14:textId="77777777" w:rsidR="00F61E68" w:rsidRPr="007448CB" w:rsidRDefault="00F61E68" w:rsidP="00F61E68">
      <w:pPr>
        <w:rPr>
          <w:rFonts w:eastAsia="Times New Roman"/>
          <w:lang w:eastAsia="en-AU"/>
        </w:rPr>
      </w:pPr>
      <w:r>
        <w:rPr>
          <w:rFonts w:cstheme="minorHAnsi"/>
        </w:rPr>
        <w:t>Beyond variations on fee-for-service, i</w:t>
      </w:r>
      <w:r w:rsidRPr="002F1737">
        <w:rPr>
          <w:rFonts w:cstheme="minorHAnsi"/>
        </w:rPr>
        <w:t>ntroducing different payment approaches</w:t>
      </w:r>
      <w:r>
        <w:rPr>
          <w:rFonts w:cstheme="minorHAnsi"/>
        </w:rPr>
        <w:t xml:space="preserve"> </w:t>
      </w:r>
      <w:r w:rsidRPr="002F1737">
        <w:rPr>
          <w:rFonts w:cstheme="minorHAnsi"/>
        </w:rPr>
        <w:t xml:space="preserve">could help ensure </w:t>
      </w:r>
      <w:r>
        <w:rPr>
          <w:rFonts w:cstheme="minorHAnsi"/>
        </w:rPr>
        <w:t xml:space="preserve">the </w:t>
      </w:r>
      <w:r w:rsidRPr="002F1737">
        <w:rPr>
          <w:rFonts w:cstheme="minorHAnsi"/>
        </w:rPr>
        <w:t>service</w:t>
      </w:r>
      <w:r>
        <w:rPr>
          <w:rFonts w:cstheme="minorHAnsi"/>
        </w:rPr>
        <w:t xml:space="preserve"> offering of providers</w:t>
      </w:r>
      <w:r w:rsidRPr="002F1737">
        <w:rPr>
          <w:rFonts w:cstheme="minorHAnsi"/>
        </w:rPr>
        <w:t xml:space="preserve"> better reflect the nature of supports</w:t>
      </w:r>
      <w:r>
        <w:rPr>
          <w:rFonts w:cstheme="minorHAnsi"/>
        </w:rPr>
        <w:t>.</w:t>
      </w:r>
      <w:r w:rsidRPr="00E239E6" w:rsidDel="008A1D16">
        <w:rPr>
          <w:rFonts w:cstheme="minorHAnsi"/>
        </w:rPr>
        <w:t xml:space="preserve"> </w:t>
      </w:r>
      <w:r>
        <w:rPr>
          <w:rFonts w:cstheme="minorHAnsi"/>
        </w:rPr>
        <w:t>For example</w:t>
      </w:r>
      <w:r w:rsidRPr="002F1737">
        <w:rPr>
          <w:rFonts w:cstheme="minorHAnsi"/>
        </w:rPr>
        <w:t xml:space="preserve">, enrolment </w:t>
      </w:r>
      <w:r>
        <w:rPr>
          <w:rFonts w:cstheme="minorHAnsi"/>
        </w:rPr>
        <w:t>payments</w:t>
      </w:r>
      <w:r w:rsidRPr="002F1737">
        <w:rPr>
          <w:rFonts w:cstheme="minorHAnsi"/>
        </w:rPr>
        <w:t xml:space="preserve"> </w:t>
      </w:r>
      <w:r>
        <w:rPr>
          <w:rFonts w:cstheme="minorHAnsi"/>
        </w:rPr>
        <w:t xml:space="preserve">could be used </w:t>
      </w:r>
      <w:r w:rsidRPr="002F1737">
        <w:rPr>
          <w:rFonts w:cstheme="minorHAnsi"/>
        </w:rPr>
        <w:t xml:space="preserve">where support needs are </w:t>
      </w:r>
      <w:r>
        <w:rPr>
          <w:rFonts w:cstheme="minorHAnsi"/>
        </w:rPr>
        <w:t xml:space="preserve">more </w:t>
      </w:r>
      <w:r w:rsidRPr="002F1737">
        <w:rPr>
          <w:rFonts w:cstheme="minorHAnsi"/>
        </w:rPr>
        <w:t xml:space="preserve">predictable and </w:t>
      </w:r>
      <w:r>
        <w:rPr>
          <w:rFonts w:cstheme="minorHAnsi"/>
        </w:rPr>
        <w:t>less</w:t>
      </w:r>
      <w:r w:rsidRPr="002F1737">
        <w:rPr>
          <w:rFonts w:cstheme="minorHAnsi"/>
        </w:rPr>
        <w:t xml:space="preserve"> episodic</w:t>
      </w:r>
      <w:r>
        <w:rPr>
          <w:rFonts w:cstheme="minorHAnsi"/>
        </w:rPr>
        <w:t xml:space="preserve"> in nature. </w:t>
      </w:r>
    </w:p>
    <w:p w14:paraId="0EB32A86" w14:textId="77777777" w:rsidR="00F61E68" w:rsidRPr="004E5A52" w:rsidRDefault="00F61E68" w:rsidP="00C53CA3">
      <w:pPr>
        <w:pStyle w:val="Figure"/>
        <w:rPr>
          <w:rFonts w:eastAsiaTheme="majorEastAsia"/>
          <w:i/>
        </w:rPr>
      </w:pPr>
      <w:r w:rsidRPr="00BF5493">
        <w:rPr>
          <w:rFonts w:eastAsiaTheme="majorEastAsia"/>
        </w:rPr>
        <w:t>Payment approaches and their characteristics</w:t>
      </w:r>
      <w:r w:rsidRPr="00644845">
        <w:rPr>
          <w:rStyle w:val="EndnoteReference"/>
          <w:rFonts w:eastAsiaTheme="majorEastAsia" w:cstheme="minorHAnsi"/>
          <w:szCs w:val="26"/>
        </w:rPr>
        <w:endnoteReference w:id="65"/>
      </w:r>
    </w:p>
    <w:tbl>
      <w:tblPr>
        <w:tblW w:w="0" w:type="auto"/>
        <w:tblCellMar>
          <w:left w:w="0" w:type="dxa"/>
          <w:right w:w="0" w:type="dxa"/>
        </w:tblCellMar>
        <w:tblLook w:val="04A0" w:firstRow="1" w:lastRow="0" w:firstColumn="1" w:lastColumn="0" w:noHBand="0" w:noVBand="1"/>
      </w:tblPr>
      <w:tblGrid>
        <w:gridCol w:w="1228"/>
        <w:gridCol w:w="2741"/>
        <w:gridCol w:w="5547"/>
      </w:tblGrid>
      <w:tr w:rsidR="00F61E68" w:rsidRPr="00A8706B" w14:paraId="4315F83F" w14:textId="77777777" w:rsidTr="00823503">
        <w:trPr>
          <w:tblHeader/>
        </w:trPr>
        <w:tc>
          <w:tcPr>
            <w:tcW w:w="1228" w:type="dxa"/>
            <w:tcBorders>
              <w:top w:val="nil"/>
              <w:left w:val="nil"/>
              <w:bottom w:val="single" w:sz="4" w:space="0" w:color="D9D9D9" w:themeColor="background1" w:themeShade="D9"/>
              <w:right w:val="nil"/>
            </w:tcBorders>
            <w:shd w:val="clear" w:color="auto" w:fill="1B2C55"/>
            <w:tcMar>
              <w:top w:w="57" w:type="dxa"/>
              <w:left w:w="57" w:type="dxa"/>
              <w:bottom w:w="57" w:type="dxa"/>
              <w:right w:w="57" w:type="dxa"/>
            </w:tcMar>
            <w:hideMark/>
          </w:tcPr>
          <w:p w14:paraId="0A7307D6" w14:textId="77777777" w:rsidR="00F61E68" w:rsidRPr="00E239E6" w:rsidRDefault="00F61E68" w:rsidP="00F61E68">
            <w:pPr>
              <w:spacing w:after="0" w:line="240" w:lineRule="auto"/>
              <w:rPr>
                <w:rFonts w:cstheme="minorHAnsi"/>
                <w:sz w:val="20"/>
                <w:szCs w:val="18"/>
              </w:rPr>
            </w:pPr>
            <w:r w:rsidRPr="00E239E6">
              <w:rPr>
                <w:rFonts w:cstheme="minorHAnsi"/>
                <w:b/>
                <w:sz w:val="20"/>
                <w:szCs w:val="18"/>
              </w:rPr>
              <w:t>Options</w:t>
            </w:r>
          </w:p>
        </w:tc>
        <w:tc>
          <w:tcPr>
            <w:tcW w:w="2741" w:type="dxa"/>
            <w:tcBorders>
              <w:top w:val="nil"/>
              <w:left w:val="nil"/>
              <w:bottom w:val="single" w:sz="4" w:space="0" w:color="D9D9D9" w:themeColor="background1" w:themeShade="D9"/>
              <w:right w:val="nil"/>
            </w:tcBorders>
            <w:shd w:val="clear" w:color="auto" w:fill="1B2C55"/>
            <w:tcMar>
              <w:top w:w="57" w:type="dxa"/>
              <w:left w:w="57" w:type="dxa"/>
              <w:bottom w:w="57" w:type="dxa"/>
              <w:right w:w="57" w:type="dxa"/>
            </w:tcMar>
            <w:hideMark/>
          </w:tcPr>
          <w:p w14:paraId="7A005635" w14:textId="77777777" w:rsidR="00F61E68" w:rsidRPr="00E239E6" w:rsidRDefault="00F61E68" w:rsidP="00F61E68">
            <w:pPr>
              <w:spacing w:after="0" w:line="240" w:lineRule="auto"/>
              <w:rPr>
                <w:rFonts w:cstheme="minorHAnsi"/>
                <w:sz w:val="20"/>
                <w:szCs w:val="18"/>
              </w:rPr>
            </w:pPr>
            <w:r w:rsidRPr="00E239E6">
              <w:rPr>
                <w:rFonts w:cstheme="minorHAnsi"/>
                <w:b/>
                <w:sz w:val="20"/>
                <w:szCs w:val="18"/>
              </w:rPr>
              <w:t>Advantages</w:t>
            </w:r>
          </w:p>
        </w:tc>
        <w:tc>
          <w:tcPr>
            <w:tcW w:w="5547" w:type="dxa"/>
            <w:tcBorders>
              <w:top w:val="nil"/>
              <w:left w:val="nil"/>
              <w:bottom w:val="single" w:sz="4" w:space="0" w:color="D9D9D9" w:themeColor="background1" w:themeShade="D9"/>
              <w:right w:val="nil"/>
            </w:tcBorders>
            <w:shd w:val="clear" w:color="auto" w:fill="1B2C55"/>
            <w:tcMar>
              <w:top w:w="57" w:type="dxa"/>
              <w:left w:w="57" w:type="dxa"/>
              <w:bottom w:w="57" w:type="dxa"/>
              <w:right w:w="57" w:type="dxa"/>
            </w:tcMar>
            <w:hideMark/>
          </w:tcPr>
          <w:p w14:paraId="79F83BAB" w14:textId="77777777" w:rsidR="00F61E68" w:rsidRPr="00E239E6" w:rsidRDefault="00F61E68" w:rsidP="00F61E68">
            <w:pPr>
              <w:spacing w:after="0" w:line="240" w:lineRule="auto"/>
              <w:rPr>
                <w:rFonts w:cstheme="minorHAnsi"/>
                <w:sz w:val="20"/>
                <w:szCs w:val="18"/>
              </w:rPr>
            </w:pPr>
            <w:r w:rsidRPr="00E239E6">
              <w:rPr>
                <w:rFonts w:cstheme="minorHAnsi"/>
                <w:b/>
                <w:sz w:val="20"/>
                <w:szCs w:val="18"/>
              </w:rPr>
              <w:t>Disadvantages</w:t>
            </w:r>
          </w:p>
        </w:tc>
      </w:tr>
      <w:tr w:rsidR="00F61E68" w:rsidRPr="00A8706B" w14:paraId="32EDB439" w14:textId="77777777" w:rsidTr="00BC41FA">
        <w:tc>
          <w:tcPr>
            <w:tcW w:w="122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BDACB" w:themeFill="background2" w:themeFillTint="66"/>
            <w:tcMar>
              <w:top w:w="57" w:type="dxa"/>
              <w:left w:w="57" w:type="dxa"/>
              <w:bottom w:w="57" w:type="dxa"/>
              <w:right w:w="57" w:type="dxa"/>
            </w:tcMar>
            <w:hideMark/>
          </w:tcPr>
          <w:p w14:paraId="3CE15CBB" w14:textId="77777777" w:rsidR="00F61E68" w:rsidRPr="00BC41FA" w:rsidRDefault="00F61E68" w:rsidP="00BC41FA">
            <w:pPr>
              <w:pStyle w:val="00-Bodytable"/>
              <w:rPr>
                <w:b/>
                <w:sz w:val="16"/>
                <w:szCs w:val="16"/>
              </w:rPr>
            </w:pPr>
            <w:r w:rsidRPr="00BC41FA">
              <w:rPr>
                <w:b/>
                <w:sz w:val="16"/>
                <w:szCs w:val="16"/>
              </w:rPr>
              <w:t>Block funding</w:t>
            </w:r>
          </w:p>
          <w:p w14:paraId="2CAF5597" w14:textId="77777777" w:rsidR="00F61E68" w:rsidRPr="00BC41FA" w:rsidRDefault="00F61E68" w:rsidP="00BC41FA">
            <w:pPr>
              <w:pStyle w:val="00-Bodytable"/>
              <w:rPr>
                <w:sz w:val="16"/>
                <w:szCs w:val="16"/>
              </w:rPr>
            </w:pPr>
            <w:r w:rsidRPr="00BC41FA">
              <w:rPr>
                <w:sz w:val="16"/>
                <w:szCs w:val="16"/>
              </w:rPr>
              <w:t xml:space="preserve">Lump sum payments covering specific services for a </w:t>
            </w:r>
            <w:r w:rsidRPr="00BC41FA">
              <w:rPr>
                <w:sz w:val="16"/>
                <w:szCs w:val="16"/>
              </w:rPr>
              <w:lastRenderedPageBreak/>
              <w:t>set period of time</w:t>
            </w:r>
          </w:p>
        </w:tc>
        <w:tc>
          <w:tcPr>
            <w:tcW w:w="274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DECE5" w:themeFill="background2" w:themeFillTint="33"/>
            <w:tcMar>
              <w:top w:w="57" w:type="dxa"/>
              <w:left w:w="57" w:type="dxa"/>
              <w:bottom w:w="57" w:type="dxa"/>
              <w:right w:w="57" w:type="dxa"/>
            </w:tcMar>
            <w:hideMark/>
          </w:tcPr>
          <w:p w14:paraId="5D734BA9" w14:textId="77777777" w:rsidR="00F61E68" w:rsidRPr="00BC41FA" w:rsidRDefault="00F61E68" w:rsidP="00BC41FA">
            <w:pPr>
              <w:pStyle w:val="ListBullets-Level1-table"/>
              <w:rPr>
                <w:sz w:val="16"/>
                <w:szCs w:val="16"/>
              </w:rPr>
            </w:pPr>
            <w:r w:rsidRPr="00BC41FA">
              <w:rPr>
                <w:sz w:val="16"/>
                <w:szCs w:val="16"/>
              </w:rPr>
              <w:lastRenderedPageBreak/>
              <w:t>Expenditure is predictable</w:t>
            </w:r>
          </w:p>
          <w:p w14:paraId="2B2A6903" w14:textId="77777777" w:rsidR="00F61E68" w:rsidRPr="00BC41FA" w:rsidRDefault="00F61E68" w:rsidP="00BC41FA">
            <w:pPr>
              <w:pStyle w:val="ListBullets-Level1-table"/>
              <w:rPr>
                <w:sz w:val="16"/>
                <w:szCs w:val="16"/>
              </w:rPr>
            </w:pPr>
            <w:r w:rsidRPr="00BC41FA">
              <w:rPr>
                <w:sz w:val="16"/>
                <w:szCs w:val="16"/>
              </w:rPr>
              <w:t>Easy to administer</w:t>
            </w:r>
          </w:p>
          <w:p w14:paraId="150B7108" w14:textId="77777777" w:rsidR="00F61E68" w:rsidRPr="00BC41FA" w:rsidRDefault="00F61E68" w:rsidP="00BC41FA">
            <w:pPr>
              <w:pStyle w:val="ListBullets-Level1-table"/>
              <w:rPr>
                <w:sz w:val="16"/>
                <w:szCs w:val="16"/>
              </w:rPr>
            </w:pPr>
            <w:r w:rsidRPr="00BC41FA">
              <w:rPr>
                <w:sz w:val="16"/>
                <w:szCs w:val="16"/>
              </w:rPr>
              <w:t>Adopting innovations does not impact providers’ budgets</w:t>
            </w:r>
          </w:p>
        </w:tc>
        <w:tc>
          <w:tcPr>
            <w:tcW w:w="554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DECE5" w:themeFill="background2" w:themeFillTint="33"/>
            <w:tcMar>
              <w:top w:w="57" w:type="dxa"/>
              <w:left w:w="57" w:type="dxa"/>
              <w:bottom w:w="57" w:type="dxa"/>
              <w:right w:w="57" w:type="dxa"/>
            </w:tcMar>
            <w:hideMark/>
          </w:tcPr>
          <w:p w14:paraId="72FC0AAF" w14:textId="77777777" w:rsidR="00F61E68" w:rsidRPr="00BC41FA" w:rsidRDefault="00F61E68" w:rsidP="00BC41FA">
            <w:pPr>
              <w:pStyle w:val="ListBullets-Level1-table"/>
              <w:rPr>
                <w:sz w:val="16"/>
                <w:szCs w:val="16"/>
              </w:rPr>
            </w:pPr>
            <w:r w:rsidRPr="00BC41FA">
              <w:rPr>
                <w:sz w:val="16"/>
                <w:szCs w:val="16"/>
              </w:rPr>
              <w:t>Incentive to underprovide services to reduce workloads</w:t>
            </w:r>
          </w:p>
          <w:p w14:paraId="4A32C00E" w14:textId="77777777" w:rsidR="00F61E68" w:rsidRPr="00BC41FA" w:rsidRDefault="00F61E68" w:rsidP="00BC41FA">
            <w:pPr>
              <w:pStyle w:val="ListBullets-Level1-table"/>
              <w:rPr>
                <w:sz w:val="16"/>
                <w:szCs w:val="16"/>
              </w:rPr>
            </w:pPr>
            <w:r w:rsidRPr="00BC41FA">
              <w:rPr>
                <w:sz w:val="16"/>
                <w:szCs w:val="16"/>
              </w:rPr>
              <w:t>More limited incentive to improve quality of service</w:t>
            </w:r>
          </w:p>
          <w:p w14:paraId="17FEA2E5" w14:textId="77777777" w:rsidR="00F61E68" w:rsidRPr="00BC41FA" w:rsidRDefault="00F61E68" w:rsidP="00BC41FA">
            <w:pPr>
              <w:pStyle w:val="ListBullets-Level1-table"/>
              <w:rPr>
                <w:sz w:val="16"/>
                <w:szCs w:val="16"/>
              </w:rPr>
            </w:pPr>
            <w:r w:rsidRPr="00BC41FA">
              <w:rPr>
                <w:sz w:val="16"/>
                <w:szCs w:val="16"/>
              </w:rPr>
              <w:t>Limited accountability in how payments are spent</w:t>
            </w:r>
          </w:p>
          <w:p w14:paraId="1EBBDB73" w14:textId="77777777" w:rsidR="00F61E68" w:rsidRPr="00BC41FA" w:rsidRDefault="00F61E68" w:rsidP="00BC41FA">
            <w:pPr>
              <w:pStyle w:val="ListBullets-Level1-table"/>
              <w:rPr>
                <w:sz w:val="16"/>
                <w:szCs w:val="16"/>
              </w:rPr>
            </w:pPr>
            <w:r w:rsidRPr="00BC41FA">
              <w:rPr>
                <w:sz w:val="16"/>
                <w:szCs w:val="16"/>
              </w:rPr>
              <w:t>Better providers attract more work but not necessarily more resources</w:t>
            </w:r>
          </w:p>
          <w:p w14:paraId="27DE7D5B" w14:textId="77777777" w:rsidR="00F61E68" w:rsidRPr="00BC41FA" w:rsidRDefault="00F61E68" w:rsidP="00BC41FA">
            <w:pPr>
              <w:pStyle w:val="ListBullets-Level1-table"/>
              <w:rPr>
                <w:sz w:val="16"/>
                <w:szCs w:val="16"/>
              </w:rPr>
            </w:pPr>
            <w:r w:rsidRPr="00BC41FA">
              <w:rPr>
                <w:sz w:val="16"/>
                <w:szCs w:val="16"/>
              </w:rPr>
              <w:t>Limited support for user choice</w:t>
            </w:r>
          </w:p>
          <w:p w14:paraId="1D7BD6D7" w14:textId="77777777" w:rsidR="00F61E68" w:rsidRPr="00BC41FA" w:rsidRDefault="00F61E68" w:rsidP="00BC41FA">
            <w:pPr>
              <w:pStyle w:val="ListBullets-Level1-table"/>
              <w:rPr>
                <w:sz w:val="16"/>
                <w:szCs w:val="16"/>
              </w:rPr>
            </w:pPr>
            <w:r w:rsidRPr="00BC41FA">
              <w:rPr>
                <w:sz w:val="16"/>
                <w:szCs w:val="16"/>
              </w:rPr>
              <w:lastRenderedPageBreak/>
              <w:t>Reduced incentives for efficiency over time</w:t>
            </w:r>
          </w:p>
        </w:tc>
      </w:tr>
      <w:tr w:rsidR="00F61E68" w:rsidRPr="00A8706B" w14:paraId="4A09A6D2" w14:textId="77777777" w:rsidTr="00BC41FA">
        <w:tc>
          <w:tcPr>
            <w:tcW w:w="122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E0CCE0" w:themeFill="text2" w:themeFillTint="66"/>
            <w:tcMar>
              <w:top w:w="57" w:type="dxa"/>
              <w:left w:w="57" w:type="dxa"/>
              <w:bottom w:w="57" w:type="dxa"/>
              <w:right w:w="57" w:type="dxa"/>
            </w:tcMar>
          </w:tcPr>
          <w:p w14:paraId="6427B86F" w14:textId="77777777" w:rsidR="00F61E68" w:rsidRPr="00BC41FA" w:rsidRDefault="00F61E68" w:rsidP="00BC41FA">
            <w:pPr>
              <w:pStyle w:val="00-Bodytable"/>
              <w:rPr>
                <w:b/>
                <w:sz w:val="16"/>
                <w:szCs w:val="16"/>
              </w:rPr>
            </w:pPr>
            <w:r w:rsidRPr="00BC41FA">
              <w:rPr>
                <w:b/>
                <w:sz w:val="16"/>
                <w:szCs w:val="16"/>
              </w:rPr>
              <w:lastRenderedPageBreak/>
              <w:t>Fee-for-service</w:t>
            </w:r>
          </w:p>
          <w:p w14:paraId="62DB7056" w14:textId="77777777" w:rsidR="00F61E68" w:rsidRPr="00BC41FA" w:rsidRDefault="00F61E68" w:rsidP="00BC41FA">
            <w:pPr>
              <w:pStyle w:val="00-Bodytable"/>
              <w:rPr>
                <w:sz w:val="16"/>
                <w:szCs w:val="16"/>
              </w:rPr>
            </w:pPr>
            <w:r w:rsidRPr="00BC41FA">
              <w:rPr>
                <w:sz w:val="16"/>
                <w:szCs w:val="16"/>
              </w:rPr>
              <w:t>Reimbursement for each unit of service provided</w:t>
            </w:r>
          </w:p>
        </w:tc>
        <w:tc>
          <w:tcPr>
            <w:tcW w:w="274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EFE5EF" w:themeFill="text2" w:themeFillTint="33"/>
            <w:tcMar>
              <w:top w:w="57" w:type="dxa"/>
              <w:left w:w="57" w:type="dxa"/>
              <w:bottom w:w="57" w:type="dxa"/>
              <w:right w:w="57" w:type="dxa"/>
            </w:tcMar>
          </w:tcPr>
          <w:p w14:paraId="1771704E" w14:textId="77777777" w:rsidR="00F61E68" w:rsidRPr="00BC41FA" w:rsidRDefault="00F61E68" w:rsidP="00BC41FA">
            <w:pPr>
              <w:pStyle w:val="ListBullets-Level1-table"/>
              <w:rPr>
                <w:sz w:val="16"/>
                <w:szCs w:val="16"/>
              </w:rPr>
            </w:pPr>
            <w:r w:rsidRPr="00BC41FA">
              <w:rPr>
                <w:sz w:val="16"/>
                <w:szCs w:val="16"/>
              </w:rPr>
              <w:t>Can support user choice</w:t>
            </w:r>
          </w:p>
          <w:p w14:paraId="75EE2ABD" w14:textId="77777777" w:rsidR="00F61E68" w:rsidRPr="00BC41FA" w:rsidRDefault="00F61E68" w:rsidP="00BC41FA">
            <w:pPr>
              <w:pStyle w:val="ListBullets-Level1-table"/>
              <w:rPr>
                <w:sz w:val="16"/>
                <w:szCs w:val="16"/>
              </w:rPr>
            </w:pPr>
            <w:r w:rsidRPr="00BC41FA">
              <w:rPr>
                <w:sz w:val="16"/>
                <w:szCs w:val="16"/>
              </w:rPr>
              <w:t>Incentive to provide services to more people</w:t>
            </w:r>
          </w:p>
          <w:p w14:paraId="4CEA7CA9" w14:textId="77777777" w:rsidR="00F61E68" w:rsidRPr="00BC41FA" w:rsidRDefault="00F61E68" w:rsidP="00BC41FA">
            <w:pPr>
              <w:pStyle w:val="ListBullets-Level1-table"/>
              <w:rPr>
                <w:sz w:val="16"/>
                <w:szCs w:val="16"/>
              </w:rPr>
            </w:pPr>
            <w:r w:rsidRPr="00BC41FA">
              <w:rPr>
                <w:sz w:val="16"/>
                <w:szCs w:val="16"/>
              </w:rPr>
              <w:t>Incentive to provide services regardless of costs</w:t>
            </w:r>
          </w:p>
        </w:tc>
        <w:tc>
          <w:tcPr>
            <w:tcW w:w="554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EFE5EF" w:themeFill="text2" w:themeFillTint="33"/>
            <w:tcMar>
              <w:top w:w="57" w:type="dxa"/>
              <w:left w:w="57" w:type="dxa"/>
              <w:bottom w:w="57" w:type="dxa"/>
              <w:right w:w="57" w:type="dxa"/>
            </w:tcMar>
          </w:tcPr>
          <w:p w14:paraId="5ABD3DBA" w14:textId="77777777" w:rsidR="00F61E68" w:rsidRPr="00BC41FA" w:rsidRDefault="00F61E68" w:rsidP="00BC41FA">
            <w:pPr>
              <w:pStyle w:val="ListBullets-Level1-table"/>
              <w:rPr>
                <w:sz w:val="16"/>
                <w:szCs w:val="16"/>
              </w:rPr>
            </w:pPr>
            <w:r w:rsidRPr="00BC41FA">
              <w:rPr>
                <w:sz w:val="16"/>
                <w:szCs w:val="16"/>
              </w:rPr>
              <w:t>Incentive to increase activity and over-service users</w:t>
            </w:r>
          </w:p>
          <w:p w14:paraId="28F5FCB6" w14:textId="77777777" w:rsidR="00F61E68" w:rsidRPr="00BC41FA" w:rsidRDefault="00F61E68" w:rsidP="00BC41FA">
            <w:pPr>
              <w:pStyle w:val="ListBullets-Level1-table"/>
              <w:rPr>
                <w:sz w:val="16"/>
                <w:szCs w:val="16"/>
              </w:rPr>
            </w:pPr>
            <w:r w:rsidRPr="00BC41FA">
              <w:rPr>
                <w:sz w:val="16"/>
                <w:szCs w:val="16"/>
              </w:rPr>
              <w:t>Incentive to limit or reduce resources allocated to users</w:t>
            </w:r>
          </w:p>
          <w:p w14:paraId="7FEC9A6B" w14:textId="77777777" w:rsidR="00F61E68" w:rsidRPr="00BC41FA" w:rsidRDefault="00F61E68" w:rsidP="00BC41FA">
            <w:pPr>
              <w:pStyle w:val="ListBullets-Level1-table"/>
              <w:rPr>
                <w:sz w:val="16"/>
                <w:szCs w:val="16"/>
              </w:rPr>
            </w:pPr>
            <w:r w:rsidRPr="00BC41FA">
              <w:rPr>
                <w:sz w:val="16"/>
                <w:szCs w:val="16"/>
              </w:rPr>
              <w:t>Few incentives to work with other providers</w:t>
            </w:r>
          </w:p>
          <w:p w14:paraId="32ED05F0" w14:textId="77777777" w:rsidR="00F61E68" w:rsidRPr="00BC41FA" w:rsidRDefault="00F61E68" w:rsidP="00BC41FA">
            <w:pPr>
              <w:pStyle w:val="ListBullets-Level1-table"/>
              <w:rPr>
                <w:sz w:val="16"/>
                <w:szCs w:val="16"/>
              </w:rPr>
            </w:pPr>
            <w:r w:rsidRPr="00BC41FA">
              <w:rPr>
                <w:sz w:val="16"/>
                <w:szCs w:val="16"/>
              </w:rPr>
              <w:t>Funder bears financial risk of increased demand</w:t>
            </w:r>
          </w:p>
        </w:tc>
      </w:tr>
      <w:tr w:rsidR="00F61E68" w:rsidRPr="00A8706B" w14:paraId="201E8823" w14:textId="77777777" w:rsidTr="00BC41FA">
        <w:tc>
          <w:tcPr>
            <w:tcW w:w="122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EDCED" w:themeFill="accent1" w:themeFillTint="66"/>
            <w:tcMar>
              <w:top w:w="57" w:type="dxa"/>
              <w:left w:w="57" w:type="dxa"/>
              <w:bottom w:w="57" w:type="dxa"/>
              <w:right w:w="57" w:type="dxa"/>
            </w:tcMar>
            <w:hideMark/>
          </w:tcPr>
          <w:p w14:paraId="6F51AFEF" w14:textId="77777777" w:rsidR="00F61E68" w:rsidRPr="00BC41FA" w:rsidRDefault="00F61E68" w:rsidP="00BC41FA">
            <w:pPr>
              <w:pStyle w:val="00-Bodytable"/>
              <w:rPr>
                <w:b/>
                <w:sz w:val="16"/>
                <w:szCs w:val="16"/>
              </w:rPr>
            </w:pPr>
            <w:r w:rsidRPr="00BC41FA">
              <w:rPr>
                <w:b/>
                <w:sz w:val="16"/>
                <w:szCs w:val="16"/>
              </w:rPr>
              <w:t xml:space="preserve">Enrolment (capitation) </w:t>
            </w:r>
          </w:p>
          <w:p w14:paraId="2BD76860" w14:textId="77777777" w:rsidR="00F61E68" w:rsidRPr="00BC41FA" w:rsidRDefault="00F61E68" w:rsidP="00BC41FA">
            <w:pPr>
              <w:pStyle w:val="00-Bodytable"/>
              <w:rPr>
                <w:sz w:val="16"/>
                <w:szCs w:val="16"/>
              </w:rPr>
            </w:pPr>
            <w:r w:rsidRPr="00BC41FA">
              <w:rPr>
                <w:sz w:val="16"/>
                <w:szCs w:val="16"/>
              </w:rPr>
              <w:t>Period lump-sum payments for each enrolled user</w:t>
            </w:r>
          </w:p>
        </w:tc>
        <w:tc>
          <w:tcPr>
            <w:tcW w:w="274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EEEDF6" w:themeFill="accent1" w:themeFillTint="33"/>
            <w:tcMar>
              <w:top w:w="57" w:type="dxa"/>
              <w:left w:w="57" w:type="dxa"/>
              <w:bottom w:w="57" w:type="dxa"/>
              <w:right w:w="57" w:type="dxa"/>
            </w:tcMar>
            <w:hideMark/>
          </w:tcPr>
          <w:p w14:paraId="01CBEACB" w14:textId="77777777" w:rsidR="00F61E68" w:rsidRPr="00BC41FA" w:rsidRDefault="00F61E68" w:rsidP="00BC41FA">
            <w:pPr>
              <w:pStyle w:val="ListBullets-Level1-table"/>
              <w:rPr>
                <w:sz w:val="16"/>
                <w:szCs w:val="16"/>
              </w:rPr>
            </w:pPr>
            <w:r w:rsidRPr="00BC41FA">
              <w:rPr>
                <w:sz w:val="16"/>
                <w:szCs w:val="16"/>
              </w:rPr>
              <w:t>Expenditure is predictable</w:t>
            </w:r>
          </w:p>
          <w:p w14:paraId="06FB1EE7" w14:textId="77777777" w:rsidR="00F61E68" w:rsidRPr="00BC41FA" w:rsidRDefault="00F61E68" w:rsidP="00BC41FA">
            <w:pPr>
              <w:pStyle w:val="ListBullets-Level1-table"/>
              <w:rPr>
                <w:sz w:val="16"/>
                <w:szCs w:val="16"/>
              </w:rPr>
            </w:pPr>
            <w:r w:rsidRPr="00BC41FA">
              <w:rPr>
                <w:sz w:val="16"/>
                <w:szCs w:val="16"/>
              </w:rPr>
              <w:t>Incentive to provide preventative services</w:t>
            </w:r>
          </w:p>
          <w:p w14:paraId="6ADD3D63" w14:textId="77777777" w:rsidR="00F61E68" w:rsidRPr="00BC41FA" w:rsidRDefault="00F61E68" w:rsidP="00BC41FA">
            <w:pPr>
              <w:pStyle w:val="ListBullets-Level1-table"/>
              <w:rPr>
                <w:sz w:val="16"/>
                <w:szCs w:val="16"/>
              </w:rPr>
            </w:pPr>
            <w:r w:rsidRPr="00BC41FA">
              <w:rPr>
                <w:sz w:val="16"/>
                <w:szCs w:val="16"/>
              </w:rPr>
              <w:t>Incentive to reduce costs and innovate services</w:t>
            </w:r>
          </w:p>
          <w:p w14:paraId="4488FC03" w14:textId="77777777" w:rsidR="00F61E68" w:rsidRPr="00BC41FA" w:rsidRDefault="00F61E68" w:rsidP="00BC41FA">
            <w:pPr>
              <w:pStyle w:val="ListBullets-Level1-table"/>
              <w:rPr>
                <w:sz w:val="16"/>
                <w:szCs w:val="16"/>
              </w:rPr>
            </w:pPr>
            <w:r w:rsidRPr="00BC41FA">
              <w:rPr>
                <w:sz w:val="16"/>
                <w:szCs w:val="16"/>
              </w:rPr>
              <w:t>Can encourage coordination between providers</w:t>
            </w:r>
          </w:p>
        </w:tc>
        <w:tc>
          <w:tcPr>
            <w:tcW w:w="554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EEEDF6" w:themeFill="accent1" w:themeFillTint="33"/>
            <w:tcMar>
              <w:top w:w="57" w:type="dxa"/>
              <w:left w:w="57" w:type="dxa"/>
              <w:bottom w:w="57" w:type="dxa"/>
              <w:right w:w="57" w:type="dxa"/>
            </w:tcMar>
            <w:hideMark/>
          </w:tcPr>
          <w:p w14:paraId="5638CFC9" w14:textId="77777777" w:rsidR="00F61E68" w:rsidRPr="00BC41FA" w:rsidRDefault="00F61E68" w:rsidP="00BC41FA">
            <w:pPr>
              <w:pStyle w:val="ListBullets-Level1-table"/>
              <w:rPr>
                <w:sz w:val="16"/>
                <w:szCs w:val="16"/>
              </w:rPr>
            </w:pPr>
            <w:r w:rsidRPr="00BC41FA">
              <w:rPr>
                <w:sz w:val="16"/>
                <w:szCs w:val="16"/>
              </w:rPr>
              <w:t>Incentive to decrease activity and under-service users if quality is not well monitored and enforced</w:t>
            </w:r>
          </w:p>
          <w:p w14:paraId="5C8843E9" w14:textId="77777777" w:rsidR="00F61E68" w:rsidRPr="00BC41FA" w:rsidRDefault="00F61E68" w:rsidP="00BC41FA">
            <w:pPr>
              <w:pStyle w:val="ListBullets-Level1-table"/>
              <w:rPr>
                <w:sz w:val="16"/>
                <w:szCs w:val="16"/>
              </w:rPr>
            </w:pPr>
            <w:r w:rsidRPr="00BC41FA">
              <w:rPr>
                <w:sz w:val="16"/>
                <w:szCs w:val="16"/>
              </w:rPr>
              <w:t>Incentive to shift service delivery to other providers</w:t>
            </w:r>
          </w:p>
          <w:p w14:paraId="72A21F14" w14:textId="77777777" w:rsidR="00F61E68" w:rsidRPr="00BC41FA" w:rsidRDefault="00F61E68" w:rsidP="00BC41FA">
            <w:pPr>
              <w:pStyle w:val="ListBullets-Level1-table"/>
              <w:rPr>
                <w:sz w:val="16"/>
                <w:szCs w:val="16"/>
              </w:rPr>
            </w:pPr>
            <w:r w:rsidRPr="00BC41FA">
              <w:rPr>
                <w:sz w:val="16"/>
                <w:szCs w:val="16"/>
              </w:rPr>
              <w:t>Incentives to cherry-pick participants if not risk weighted</w:t>
            </w:r>
          </w:p>
          <w:p w14:paraId="508F2F83" w14:textId="77777777" w:rsidR="00F61E68" w:rsidRPr="00BC41FA" w:rsidRDefault="00F61E68" w:rsidP="00BC41FA">
            <w:pPr>
              <w:pStyle w:val="ListBullets-Level1-table"/>
              <w:rPr>
                <w:sz w:val="16"/>
                <w:szCs w:val="16"/>
              </w:rPr>
            </w:pPr>
            <w:r w:rsidRPr="00BC41FA">
              <w:rPr>
                <w:sz w:val="16"/>
                <w:szCs w:val="16"/>
              </w:rPr>
              <w:t>Little incentive to increase quality/quantity of services</w:t>
            </w:r>
          </w:p>
        </w:tc>
      </w:tr>
      <w:tr w:rsidR="00F61E68" w:rsidRPr="00A8706B" w14:paraId="60D4EB70" w14:textId="77777777" w:rsidTr="00BC41FA">
        <w:tc>
          <w:tcPr>
            <w:tcW w:w="122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E7FB" w:themeFill="accent5" w:themeFillTint="66"/>
            <w:tcMar>
              <w:top w:w="57" w:type="dxa"/>
              <w:left w:w="57" w:type="dxa"/>
              <w:bottom w:w="57" w:type="dxa"/>
              <w:right w:w="57" w:type="dxa"/>
            </w:tcMar>
            <w:hideMark/>
          </w:tcPr>
          <w:p w14:paraId="4E596E7F" w14:textId="77777777" w:rsidR="00F61E68" w:rsidRPr="00BC41FA" w:rsidRDefault="00F61E68" w:rsidP="00BC41FA">
            <w:pPr>
              <w:pStyle w:val="00-Bodytable"/>
              <w:rPr>
                <w:b/>
                <w:sz w:val="16"/>
                <w:szCs w:val="16"/>
              </w:rPr>
            </w:pPr>
            <w:r w:rsidRPr="00BC41FA">
              <w:rPr>
                <w:b/>
                <w:sz w:val="16"/>
                <w:szCs w:val="16"/>
              </w:rPr>
              <w:t>Outcomes payments</w:t>
            </w:r>
          </w:p>
          <w:p w14:paraId="57F0D86D" w14:textId="77777777" w:rsidR="00F61E68" w:rsidRPr="00BC41FA" w:rsidRDefault="00F61E68" w:rsidP="00BC41FA">
            <w:pPr>
              <w:pStyle w:val="00-Bodytable"/>
              <w:rPr>
                <w:sz w:val="16"/>
                <w:szCs w:val="16"/>
              </w:rPr>
            </w:pPr>
            <w:r w:rsidRPr="00BC41FA">
              <w:rPr>
                <w:sz w:val="16"/>
                <w:szCs w:val="16"/>
              </w:rPr>
              <w:t>Rewards or penalties based on meeting certain metrics</w:t>
            </w:r>
          </w:p>
        </w:tc>
        <w:tc>
          <w:tcPr>
            <w:tcW w:w="274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ECF3FD" w:themeFill="accent5" w:themeFillTint="33"/>
            <w:tcMar>
              <w:top w:w="57" w:type="dxa"/>
              <w:left w:w="57" w:type="dxa"/>
              <w:bottom w:w="57" w:type="dxa"/>
              <w:right w:w="57" w:type="dxa"/>
            </w:tcMar>
            <w:hideMark/>
          </w:tcPr>
          <w:p w14:paraId="4DABA2B7" w14:textId="77777777" w:rsidR="00F61E68" w:rsidRPr="00BC41FA" w:rsidRDefault="00F61E68" w:rsidP="00BC41FA">
            <w:pPr>
              <w:pStyle w:val="ListBullets-Level1-table"/>
              <w:rPr>
                <w:sz w:val="16"/>
                <w:szCs w:val="16"/>
              </w:rPr>
            </w:pPr>
            <w:r w:rsidRPr="00BC41FA">
              <w:rPr>
                <w:sz w:val="16"/>
                <w:szCs w:val="16"/>
              </w:rPr>
              <w:t>Incentive to undertake beneficial services that would otherwise not be remunerated</w:t>
            </w:r>
          </w:p>
          <w:p w14:paraId="4C8E2D82" w14:textId="77777777" w:rsidR="00F61E68" w:rsidRPr="00BC41FA" w:rsidRDefault="00F61E68" w:rsidP="00BC41FA">
            <w:pPr>
              <w:pStyle w:val="ListBullets-Level1-table"/>
              <w:rPr>
                <w:sz w:val="16"/>
                <w:szCs w:val="16"/>
              </w:rPr>
            </w:pPr>
            <w:r w:rsidRPr="00BC41FA">
              <w:rPr>
                <w:sz w:val="16"/>
                <w:szCs w:val="16"/>
              </w:rPr>
              <w:t>Can aid consistency in meeting quality standards</w:t>
            </w:r>
          </w:p>
        </w:tc>
        <w:tc>
          <w:tcPr>
            <w:tcW w:w="554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ECF3FD" w:themeFill="accent5" w:themeFillTint="33"/>
            <w:tcMar>
              <w:top w:w="57" w:type="dxa"/>
              <w:left w:w="57" w:type="dxa"/>
              <w:bottom w:w="57" w:type="dxa"/>
              <w:right w:w="57" w:type="dxa"/>
            </w:tcMar>
            <w:hideMark/>
          </w:tcPr>
          <w:p w14:paraId="0574A4B4" w14:textId="77777777" w:rsidR="00F61E68" w:rsidRPr="00BC41FA" w:rsidRDefault="00F61E68" w:rsidP="00BC41FA">
            <w:pPr>
              <w:pStyle w:val="ListBullets-Level1-table"/>
              <w:rPr>
                <w:sz w:val="16"/>
                <w:szCs w:val="16"/>
              </w:rPr>
            </w:pPr>
            <w:r w:rsidRPr="00BC41FA">
              <w:rPr>
                <w:sz w:val="16"/>
                <w:szCs w:val="16"/>
              </w:rPr>
              <w:t>Significant monitoring effort required</w:t>
            </w:r>
          </w:p>
          <w:p w14:paraId="66DF4403" w14:textId="77777777" w:rsidR="00F61E68" w:rsidRPr="00BC41FA" w:rsidRDefault="00F61E68" w:rsidP="00BC41FA">
            <w:pPr>
              <w:pStyle w:val="ListBullets-Level1-table"/>
              <w:rPr>
                <w:sz w:val="16"/>
                <w:szCs w:val="16"/>
              </w:rPr>
            </w:pPr>
            <w:r w:rsidRPr="00BC41FA">
              <w:rPr>
                <w:sz w:val="16"/>
                <w:szCs w:val="16"/>
              </w:rPr>
              <w:t>Indicators hard to define and/or may not link to outcomes or be in provider’s control</w:t>
            </w:r>
          </w:p>
          <w:p w14:paraId="1E4110E4" w14:textId="77777777" w:rsidR="00F61E68" w:rsidRPr="00BC41FA" w:rsidRDefault="00F61E68" w:rsidP="00BC41FA">
            <w:pPr>
              <w:pStyle w:val="ListBullets-Level1-table"/>
              <w:rPr>
                <w:sz w:val="16"/>
                <w:szCs w:val="16"/>
              </w:rPr>
            </w:pPr>
            <w:r w:rsidRPr="00BC41FA">
              <w:rPr>
                <w:sz w:val="16"/>
                <w:szCs w:val="16"/>
              </w:rPr>
              <w:t>Can be high compliance costs for providers</w:t>
            </w:r>
          </w:p>
          <w:p w14:paraId="4131C096" w14:textId="77777777" w:rsidR="00F61E68" w:rsidRPr="00BC41FA" w:rsidRDefault="00F61E68" w:rsidP="00BC41FA">
            <w:pPr>
              <w:pStyle w:val="ListBullets-Level1-table"/>
              <w:rPr>
                <w:sz w:val="16"/>
                <w:szCs w:val="16"/>
              </w:rPr>
            </w:pPr>
            <w:r w:rsidRPr="00BC41FA">
              <w:rPr>
                <w:sz w:val="16"/>
                <w:szCs w:val="16"/>
              </w:rPr>
              <w:t xml:space="preserve">Risk of unintended provider behaviour in order to achieve an outcome </w:t>
            </w:r>
          </w:p>
          <w:p w14:paraId="2CB61874" w14:textId="77777777" w:rsidR="00F61E68" w:rsidRPr="00BC41FA" w:rsidRDefault="00F61E68" w:rsidP="00BC41FA">
            <w:pPr>
              <w:pStyle w:val="ListBullets-Level1-table"/>
              <w:rPr>
                <w:sz w:val="16"/>
                <w:szCs w:val="16"/>
              </w:rPr>
            </w:pPr>
            <w:r w:rsidRPr="00BC41FA">
              <w:rPr>
                <w:sz w:val="16"/>
                <w:szCs w:val="16"/>
              </w:rPr>
              <w:t>May be little incentive to improve beyond targets</w:t>
            </w:r>
          </w:p>
        </w:tc>
      </w:tr>
    </w:tbl>
    <w:p w14:paraId="63590499" w14:textId="77777777" w:rsidR="00F61E68" w:rsidRDefault="00F61E68" w:rsidP="00F61E68">
      <w:pPr>
        <w:pStyle w:val="Heading3"/>
      </w:pPr>
      <w:r w:rsidRPr="008A32AD">
        <w:t>Outcome payments can be effective when well designed</w:t>
      </w:r>
    </w:p>
    <w:p w14:paraId="69124469" w14:textId="77777777" w:rsidR="00F61E68" w:rsidRDefault="00F61E68" w:rsidP="00F61E68">
      <w:pPr>
        <w:rPr>
          <w:rFonts w:cstheme="minorHAnsi"/>
        </w:rPr>
      </w:pPr>
      <w:r>
        <w:rPr>
          <w:rFonts w:eastAsia="Times New Roman"/>
          <w:lang w:eastAsia="en-AU"/>
        </w:rPr>
        <w:t xml:space="preserve">Paying for </w:t>
      </w:r>
      <w:r w:rsidRPr="007448CB">
        <w:rPr>
          <w:rFonts w:eastAsia="Times New Roman"/>
          <w:lang w:eastAsia="en-AU"/>
        </w:rPr>
        <w:t>o</w:t>
      </w:r>
      <w:r>
        <w:rPr>
          <w:rFonts w:eastAsia="Times New Roman"/>
          <w:lang w:eastAsia="en-AU"/>
        </w:rPr>
        <w:t>utcomes in the NDIS, when well designed,</w:t>
      </w:r>
      <w:r w:rsidRPr="007448CB">
        <w:rPr>
          <w:rFonts w:eastAsia="Times New Roman"/>
          <w:lang w:eastAsia="en-AU"/>
        </w:rPr>
        <w:t xml:space="preserve"> </w:t>
      </w:r>
      <w:r>
        <w:rPr>
          <w:rFonts w:eastAsia="Times New Roman"/>
          <w:lang w:eastAsia="en-AU"/>
        </w:rPr>
        <w:t>could strengthen incentives to deliver</w:t>
      </w:r>
      <w:r w:rsidRPr="007448CB">
        <w:rPr>
          <w:rFonts w:eastAsia="Times New Roman"/>
          <w:lang w:eastAsia="en-AU"/>
        </w:rPr>
        <w:t xml:space="preserve"> evidence-based and timely services.</w:t>
      </w:r>
    </w:p>
    <w:p w14:paraId="7CD76062" w14:textId="77777777" w:rsidR="00F61E68" w:rsidRDefault="00F61E68" w:rsidP="00F61E68">
      <w:pPr>
        <w:rPr>
          <w:rFonts w:cstheme="minorHAnsi"/>
        </w:rPr>
      </w:pPr>
      <w:r w:rsidRPr="00E239E6">
        <w:rPr>
          <w:rFonts w:cstheme="minorHAnsi"/>
        </w:rPr>
        <w:t xml:space="preserve">The NDIA’s 2018 Independent Pricing Review, conducted by McKinsey &amp; Company, suggested that over the long term </w:t>
      </w:r>
      <w:r w:rsidRPr="00E239E6">
        <w:rPr>
          <w:rFonts w:cstheme="minorHAnsi"/>
          <w:lang w:val="en-US"/>
        </w:rPr>
        <w:t xml:space="preserve">the development of a competitive marketplace should enable changes to the scheme’s current model of </w:t>
      </w:r>
      <w:r>
        <w:rPr>
          <w:rFonts w:cstheme="minorHAnsi"/>
          <w:lang w:val="en-US"/>
        </w:rPr>
        <w:t xml:space="preserve">using </w:t>
      </w:r>
      <w:r w:rsidRPr="00E239E6">
        <w:rPr>
          <w:rFonts w:cstheme="minorHAnsi"/>
          <w:lang w:val="en-US"/>
        </w:rPr>
        <w:t>price caps and fee</w:t>
      </w:r>
      <w:r>
        <w:rPr>
          <w:rFonts w:cstheme="minorHAnsi"/>
          <w:lang w:val="en-US"/>
        </w:rPr>
        <w:noBreakHyphen/>
      </w:r>
      <w:r w:rsidRPr="00E239E6">
        <w:rPr>
          <w:rFonts w:cstheme="minorHAnsi"/>
          <w:lang w:val="en-US"/>
        </w:rPr>
        <w:t>for</w:t>
      </w:r>
      <w:r>
        <w:rPr>
          <w:rFonts w:cstheme="minorHAnsi"/>
          <w:lang w:val="en-US"/>
        </w:rPr>
        <w:noBreakHyphen/>
      </w:r>
      <w:r w:rsidRPr="00E239E6">
        <w:rPr>
          <w:rFonts w:cstheme="minorHAnsi"/>
          <w:lang w:val="en-US"/>
        </w:rPr>
        <w:t xml:space="preserve">service. </w:t>
      </w:r>
      <w:r>
        <w:rPr>
          <w:rFonts w:cstheme="minorHAnsi"/>
          <w:lang w:val="en-US"/>
        </w:rPr>
        <w:t xml:space="preserve">The report </w:t>
      </w:r>
      <w:r>
        <w:rPr>
          <w:rFonts w:cstheme="minorHAnsi"/>
        </w:rPr>
        <w:t>recommended trialling outcomes-based pricing in the NDIS.</w:t>
      </w:r>
    </w:p>
    <w:p w14:paraId="6D99938C" w14:textId="77777777" w:rsidR="00F61E68" w:rsidRDefault="00F61E68" w:rsidP="00F61E68">
      <w:pPr>
        <w:pStyle w:val="Quote"/>
        <w:rPr>
          <w:rFonts w:cstheme="minorHAnsi"/>
          <w:lang w:val="en-US"/>
        </w:rPr>
      </w:pPr>
      <w:r>
        <w:rPr>
          <w:rFonts w:cstheme="minorHAnsi"/>
          <w:lang w:val="en-US"/>
        </w:rPr>
        <w:t xml:space="preserve">‘Firstly, the </w:t>
      </w:r>
      <w:r w:rsidRPr="00F61E68">
        <w:rPr>
          <w:rFonts w:cstheme="minorHAnsi"/>
          <w:b/>
          <w:color w:val="8F578F" w:themeColor="text2" w:themeShade="BF"/>
          <w:lang w:val="en-US"/>
        </w:rPr>
        <w:t>NDIA should conduct a trial of outcomes-based pricing</w:t>
      </w:r>
      <w:r>
        <w:rPr>
          <w:rFonts w:cstheme="minorHAnsi"/>
          <w:lang w:val="en-US"/>
        </w:rPr>
        <w:t xml:space="preserve">. </w:t>
      </w:r>
      <w:r w:rsidRPr="00A16CC5">
        <w:rPr>
          <w:rFonts w:cstheme="minorHAnsi"/>
          <w:lang w:val="en-US"/>
        </w:rPr>
        <w:t>This is an appealing alternative to input-based pricing as it encourages providers to maximise outcomes, rather than the volume of services provided</w:t>
      </w:r>
      <w:r>
        <w:rPr>
          <w:rFonts w:cstheme="minorHAnsi"/>
          <w:lang w:val="en-US"/>
        </w:rPr>
        <w:t xml:space="preserve">. </w:t>
      </w:r>
      <w:r w:rsidRPr="00E239E6">
        <w:rPr>
          <w:rFonts w:cstheme="minorHAnsi"/>
          <w:lang w:val="en-US"/>
        </w:rPr>
        <w:t xml:space="preserve">However, it is </w:t>
      </w:r>
      <w:r w:rsidRPr="00F61E68">
        <w:rPr>
          <w:rFonts w:cstheme="minorHAnsi"/>
          <w:b/>
          <w:color w:val="8F578F" w:themeColor="text2" w:themeShade="BF"/>
          <w:lang w:val="en-US"/>
        </w:rPr>
        <w:t>significantly more complex and requires strong baseline data and measurement systems</w:t>
      </w:r>
      <w:r w:rsidRPr="00E239E6">
        <w:rPr>
          <w:rFonts w:cstheme="minorHAnsi"/>
          <w:lang w:val="en-US"/>
        </w:rPr>
        <w:t xml:space="preserve">. A trial </w:t>
      </w:r>
      <w:r w:rsidRPr="00E239E6">
        <w:rPr>
          <w:rFonts w:cstheme="minorHAnsi"/>
          <w:lang w:val="en-US"/>
        </w:rPr>
        <w:lastRenderedPageBreak/>
        <w:t>would provide valuable learnings on how this approach might b</w:t>
      </w:r>
      <w:r>
        <w:rPr>
          <w:rFonts w:cstheme="minorHAnsi"/>
          <w:lang w:val="en-US"/>
        </w:rPr>
        <w:t>e implemented in some supports.’</w:t>
      </w:r>
    </w:p>
    <w:p w14:paraId="37BE5D1E" w14:textId="77777777" w:rsidR="00F61E68" w:rsidRPr="00394A1B" w:rsidRDefault="00F61E68" w:rsidP="00F61E68">
      <w:pPr>
        <w:pStyle w:val="Quote"/>
        <w:rPr>
          <w:lang w:val="en-US"/>
        </w:rPr>
      </w:pPr>
      <w:r>
        <w:rPr>
          <w:rFonts w:eastAsia="Times New Roman"/>
          <w:lang w:val="en-US" w:eastAsia="en-AU"/>
        </w:rPr>
        <w:t xml:space="preserve">– </w:t>
      </w:r>
      <w:r w:rsidRPr="00D23383">
        <w:rPr>
          <w:lang w:val="en-US"/>
        </w:rPr>
        <w:t xml:space="preserve">McKinsey &amp; </w:t>
      </w:r>
      <w:r w:rsidRPr="00F61E68">
        <w:t>Company</w:t>
      </w:r>
      <w:r w:rsidRPr="00D23383">
        <w:rPr>
          <w:lang w:val="en-US"/>
        </w:rPr>
        <w:t>, NDIA Independent Pricing Review</w:t>
      </w:r>
      <w:bookmarkStart w:id="297" w:name="_Toc123744770"/>
      <w:bookmarkEnd w:id="297"/>
      <w:r>
        <w:rPr>
          <w:rStyle w:val="EndnoteReference"/>
          <w:rFonts w:cstheme="minorHAnsi"/>
          <w:i w:val="0"/>
          <w:lang w:val="en-US"/>
        </w:rPr>
        <w:endnoteReference w:id="66"/>
      </w:r>
    </w:p>
    <w:p w14:paraId="1D071A19" w14:textId="77777777" w:rsidR="00F61E68" w:rsidRDefault="00F61E68" w:rsidP="00F61E68">
      <w:pPr>
        <w:rPr>
          <w:rFonts w:cstheme="minorHAnsi"/>
        </w:rPr>
      </w:pPr>
      <w:r>
        <w:rPr>
          <w:rFonts w:cstheme="minorHAnsi"/>
        </w:rPr>
        <w:t>Outcome payments have been used in other</w:t>
      </w:r>
      <w:r w:rsidRPr="00E239E6">
        <w:rPr>
          <w:rFonts w:cstheme="minorHAnsi"/>
        </w:rPr>
        <w:t xml:space="preserve"> social services</w:t>
      </w:r>
      <w:r>
        <w:rPr>
          <w:rFonts w:cstheme="minorHAnsi"/>
        </w:rPr>
        <w:t xml:space="preserve">. </w:t>
      </w:r>
    </w:p>
    <w:p w14:paraId="3480EE86" w14:textId="77777777" w:rsidR="00F61E68" w:rsidRPr="000E0ACE" w:rsidRDefault="00F61E68" w:rsidP="00F61E68">
      <w:pPr>
        <w:rPr>
          <w:rFonts w:cstheme="minorHAnsi"/>
        </w:rPr>
      </w:pPr>
      <w:r>
        <w:rPr>
          <w:rFonts w:cstheme="minorHAnsi"/>
        </w:rPr>
        <w:t>F</w:t>
      </w:r>
      <w:r w:rsidRPr="00E239E6">
        <w:rPr>
          <w:rFonts w:cstheme="minorHAnsi"/>
        </w:rPr>
        <w:t>or examp</w:t>
      </w:r>
      <w:r>
        <w:rPr>
          <w:rFonts w:cstheme="minorHAnsi"/>
        </w:rPr>
        <w:t xml:space="preserve">le, employment service </w:t>
      </w:r>
      <w:r w:rsidRPr="00E239E6">
        <w:rPr>
          <w:rFonts w:cstheme="minorHAnsi"/>
        </w:rPr>
        <w:t xml:space="preserve">providers are paid </w:t>
      </w:r>
      <w:r>
        <w:rPr>
          <w:rFonts w:cstheme="minorHAnsi"/>
        </w:rPr>
        <w:t xml:space="preserve">in part for supporting people to achieve employment </w:t>
      </w:r>
      <w:r w:rsidRPr="00E239E6">
        <w:rPr>
          <w:rFonts w:cstheme="minorHAnsi"/>
        </w:rPr>
        <w:t>outcomes.</w:t>
      </w:r>
      <w:r>
        <w:rPr>
          <w:rFonts w:cstheme="minorHAnsi"/>
        </w:rPr>
        <w:t xml:space="preserve"> </w:t>
      </w:r>
      <w:r>
        <w:t>P</w:t>
      </w:r>
      <w:r w:rsidRPr="3DFFC190">
        <w:t xml:space="preserve">articipants </w:t>
      </w:r>
      <w:r>
        <w:t xml:space="preserve">in mainstream </w:t>
      </w:r>
      <w:r w:rsidRPr="3DFFC190">
        <w:t xml:space="preserve">and Disability Employment Services can </w:t>
      </w:r>
      <w:r>
        <w:t xml:space="preserve">also </w:t>
      </w:r>
      <w:r w:rsidRPr="3DFFC190">
        <w:t xml:space="preserve">choose their provider on the basis of the provider’s </w:t>
      </w:r>
      <w:r>
        <w:t xml:space="preserve">past outcomes or </w:t>
      </w:r>
      <w:r w:rsidRPr="3DFFC190">
        <w:t xml:space="preserve">performance </w:t>
      </w:r>
      <w:r>
        <w:t>via a</w:t>
      </w:r>
      <w:r w:rsidRPr="3DFFC190">
        <w:t xml:space="preserve"> </w:t>
      </w:r>
      <w:r>
        <w:t>‘</w:t>
      </w:r>
      <w:r w:rsidRPr="3DFFC190">
        <w:t>star rating</w:t>
      </w:r>
      <w:r>
        <w:t>’</w:t>
      </w:r>
      <w:r w:rsidRPr="3DFFC190">
        <w:t>.</w:t>
      </w:r>
      <w:r>
        <w:t xml:space="preserve"> </w:t>
      </w:r>
      <w:r w:rsidRPr="3DFFC190">
        <w:t xml:space="preserve">In addition, </w:t>
      </w:r>
      <w:r>
        <w:t xml:space="preserve">under the previous jobactive scheme, </w:t>
      </w:r>
      <w:r w:rsidDel="00CD7512">
        <w:t xml:space="preserve">every 18 months, </w:t>
      </w:r>
      <w:r w:rsidRPr="3DFFC190">
        <w:t>high</w:t>
      </w:r>
      <w:r>
        <w:t>er</w:t>
      </w:r>
      <w:r w:rsidRPr="3DFFC190">
        <w:t xml:space="preserve"> performing e</w:t>
      </w:r>
      <w:r>
        <w:t>mployment providers were</w:t>
      </w:r>
      <w:r w:rsidRPr="3DFFC190">
        <w:t xml:space="preserve"> </w:t>
      </w:r>
      <w:r>
        <w:t xml:space="preserve">allocated a larger market share, while </w:t>
      </w:r>
      <w:r w:rsidRPr="3DFFC190">
        <w:t>poor</w:t>
      </w:r>
      <w:r>
        <w:t>er</w:t>
      </w:r>
      <w:r w:rsidRPr="3DFFC190">
        <w:t xml:space="preserve"> performing providers</w:t>
      </w:r>
      <w:r>
        <w:t xml:space="preserve"> lost</w:t>
      </w:r>
      <w:r w:rsidRPr="3DFFC190">
        <w:t xml:space="preserve"> </w:t>
      </w:r>
      <w:r>
        <w:t>market share</w:t>
      </w:r>
      <w:r w:rsidRPr="3DFFC190">
        <w:t>.</w:t>
      </w:r>
    </w:p>
    <w:p w14:paraId="514B626C" w14:textId="77777777" w:rsidR="00F61E68" w:rsidRDefault="00F61E68" w:rsidP="00F61E68">
      <w:pPr>
        <w:rPr>
          <w:lang w:val="en-US"/>
        </w:rPr>
      </w:pPr>
      <w:r>
        <w:rPr>
          <w:lang w:val="en-US"/>
        </w:rPr>
        <w:t>Experience in other social services has shown that p</w:t>
      </w:r>
      <w:r w:rsidRPr="005C53F4">
        <w:rPr>
          <w:lang w:val="en-US"/>
        </w:rPr>
        <w:t xml:space="preserve">roviders can be responsive to outcome payments, which can drive benefits for participants. </w:t>
      </w:r>
    </w:p>
    <w:p w14:paraId="540B979C" w14:textId="77777777" w:rsidR="00F61E68" w:rsidRPr="00102EC5" w:rsidRDefault="00F61E68" w:rsidP="00F61E68">
      <w:pPr>
        <w:rPr>
          <w:rFonts w:cstheme="minorHAnsi"/>
          <w:lang w:val="en-US"/>
        </w:rPr>
      </w:pPr>
      <w:r>
        <w:rPr>
          <w:lang w:val="en-US"/>
        </w:rPr>
        <w:t>T</w:t>
      </w:r>
      <w:r w:rsidRPr="005C53F4">
        <w:rPr>
          <w:lang w:val="en-US"/>
        </w:rPr>
        <w:t>he New South Wales Family Preservation Service</w:t>
      </w:r>
      <w:r>
        <w:rPr>
          <w:lang w:val="en-US"/>
        </w:rPr>
        <w:t xml:space="preserve"> has highlighted some of the benefits of payment-by-result. The program </w:t>
      </w:r>
      <w:r w:rsidRPr="005C53F4">
        <w:rPr>
          <w:lang w:val="en-US"/>
        </w:rPr>
        <w:t xml:space="preserve">supports </w:t>
      </w:r>
      <w:r>
        <w:rPr>
          <w:lang w:val="en-US"/>
        </w:rPr>
        <w:t>children</w:t>
      </w:r>
      <w:r w:rsidRPr="005C53F4">
        <w:rPr>
          <w:lang w:val="en-US"/>
        </w:rPr>
        <w:t xml:space="preserve"> at risk of entering out-of-home-care</w:t>
      </w:r>
      <w:r>
        <w:rPr>
          <w:lang w:val="en-US"/>
        </w:rPr>
        <w:t xml:space="preserve"> by proving a range of supports </w:t>
      </w:r>
      <w:r w:rsidRPr="005C53F4">
        <w:rPr>
          <w:lang w:val="en-US"/>
        </w:rPr>
        <w:t>includ</w:t>
      </w:r>
      <w:r>
        <w:rPr>
          <w:lang w:val="en-US"/>
        </w:rPr>
        <w:t>ing</w:t>
      </w:r>
      <w:r w:rsidRPr="005C53F4">
        <w:rPr>
          <w:lang w:val="en-US"/>
        </w:rPr>
        <w:t xml:space="preserve"> therapy, social work and personal care services. A </w:t>
      </w:r>
      <w:r>
        <w:rPr>
          <w:lang w:val="en-US"/>
        </w:rPr>
        <w:t xml:space="preserve">2020 </w:t>
      </w:r>
      <w:r w:rsidRPr="005C53F4">
        <w:rPr>
          <w:lang w:val="en-US"/>
        </w:rPr>
        <w:t xml:space="preserve">independent evaluation </w:t>
      </w:r>
      <w:r>
        <w:rPr>
          <w:lang w:val="en-US"/>
        </w:rPr>
        <w:t xml:space="preserve">of the program </w:t>
      </w:r>
      <w:r w:rsidRPr="005C53F4">
        <w:rPr>
          <w:lang w:val="en-US"/>
        </w:rPr>
        <w:t>found the payment-by-results approach reduced entry to acute settings</w:t>
      </w:r>
      <w:r>
        <w:rPr>
          <w:lang w:val="en-US"/>
        </w:rPr>
        <w:t>.</w:t>
      </w:r>
      <w:r w:rsidRPr="005C53F4">
        <w:rPr>
          <w:lang w:val="en-US"/>
        </w:rPr>
        <w:t xml:space="preserve"> </w:t>
      </w:r>
      <w:r>
        <w:rPr>
          <w:lang w:val="en-US"/>
        </w:rPr>
        <w:t>The evaluation also found</w:t>
      </w:r>
      <w:r w:rsidRPr="005C53F4">
        <w:rPr>
          <w:lang w:val="en-US"/>
        </w:rPr>
        <w:t xml:space="preserve"> material cost savings</w:t>
      </w:r>
      <w:r>
        <w:rPr>
          <w:lang w:val="en-US"/>
        </w:rPr>
        <w:t xml:space="preserve"> with</w:t>
      </w:r>
      <w:r w:rsidRPr="005C53F4">
        <w:rPr>
          <w:lang w:val="en-US"/>
        </w:rPr>
        <w:t xml:space="preserve"> higher uptake of preventative actions</w:t>
      </w:r>
      <w:r>
        <w:rPr>
          <w:lang w:val="en-US"/>
        </w:rPr>
        <w:t>. C</w:t>
      </w:r>
      <w:r w:rsidRPr="005C53F4">
        <w:rPr>
          <w:lang w:val="en-US"/>
        </w:rPr>
        <w:t>lients with high and complex needs</w:t>
      </w:r>
      <w:r>
        <w:rPr>
          <w:lang w:val="en-US"/>
        </w:rPr>
        <w:t xml:space="preserve"> were found to benefit most</w:t>
      </w:r>
      <w:r w:rsidRPr="005C53F4">
        <w:rPr>
          <w:lang w:val="en-US"/>
        </w:rPr>
        <w:t>.</w:t>
      </w:r>
      <w:r w:rsidRPr="3DFFC190">
        <w:rPr>
          <w:rStyle w:val="EndnoteReference"/>
          <w:lang w:val="en-US"/>
        </w:rPr>
        <w:endnoteReference w:id="67"/>
      </w:r>
    </w:p>
    <w:p w14:paraId="5BC4155C" w14:textId="77777777" w:rsidR="00F61E68" w:rsidRPr="00467D53" w:rsidRDefault="00F61E68" w:rsidP="00F61E68">
      <w:pPr>
        <w:rPr>
          <w:rFonts w:cstheme="minorHAnsi"/>
          <w:lang w:val="en-US"/>
        </w:rPr>
      </w:pPr>
      <w:r>
        <w:rPr>
          <w:rFonts w:cstheme="minorHAnsi"/>
        </w:rPr>
        <w:t xml:space="preserve">However, </w:t>
      </w:r>
      <w:r w:rsidRPr="005C53F4">
        <w:rPr>
          <w:rFonts w:cstheme="minorHAnsi"/>
        </w:rPr>
        <w:t>it can be</w:t>
      </w:r>
      <w:r>
        <w:rPr>
          <w:rFonts w:cstheme="minorHAnsi"/>
        </w:rPr>
        <w:t xml:space="preserve"> </w:t>
      </w:r>
      <w:r w:rsidRPr="005C53F4">
        <w:rPr>
          <w:rFonts w:cstheme="minorHAnsi"/>
        </w:rPr>
        <w:t>difficult to link outcomes to providers’ performance</w:t>
      </w:r>
      <w:r>
        <w:rPr>
          <w:rFonts w:cstheme="minorHAnsi"/>
        </w:rPr>
        <w:t>. Providers may not want to supply the market where too much of the payment is at risk.</w:t>
      </w:r>
      <w:r w:rsidRPr="005C53F4">
        <w:rPr>
          <w:rFonts w:cstheme="minorHAnsi"/>
          <w:lang w:val="en-US"/>
        </w:rPr>
        <w:t xml:space="preserve"> </w:t>
      </w:r>
      <w:r>
        <w:rPr>
          <w:rFonts w:cstheme="minorHAnsi"/>
          <w:lang w:val="en-US"/>
        </w:rPr>
        <w:t>P</w:t>
      </w:r>
      <w:r w:rsidRPr="005C53F4">
        <w:rPr>
          <w:rFonts w:cstheme="minorHAnsi"/>
          <w:lang w:val="en-US"/>
        </w:rPr>
        <w:t>roviders</w:t>
      </w:r>
      <w:r>
        <w:rPr>
          <w:rFonts w:cstheme="minorHAnsi"/>
          <w:lang w:val="en-US"/>
        </w:rPr>
        <w:t xml:space="preserve"> also</w:t>
      </w:r>
      <w:r w:rsidRPr="005C53F4">
        <w:rPr>
          <w:rFonts w:cstheme="minorHAnsi"/>
          <w:lang w:val="en-US"/>
        </w:rPr>
        <w:t xml:space="preserve"> require the necessary scope to drive positive outcomes for participants.</w:t>
      </w:r>
      <w:r w:rsidRPr="005C53F4">
        <w:rPr>
          <w:rFonts w:cstheme="minorHAnsi"/>
        </w:rPr>
        <w:t xml:space="preserve"> </w:t>
      </w:r>
      <w:r w:rsidRPr="005C53F4">
        <w:rPr>
          <w:rFonts w:cstheme="minorHAnsi"/>
          <w:lang w:val="en-US"/>
        </w:rPr>
        <w:t xml:space="preserve">To affect an outcome, providers </w:t>
      </w:r>
      <w:r>
        <w:rPr>
          <w:rFonts w:cstheme="minorHAnsi"/>
          <w:lang w:val="en-US"/>
        </w:rPr>
        <w:t xml:space="preserve">may </w:t>
      </w:r>
      <w:r w:rsidRPr="005C53F4">
        <w:rPr>
          <w:rFonts w:cstheme="minorHAnsi"/>
          <w:lang w:val="en-US"/>
        </w:rPr>
        <w:t xml:space="preserve">need to be able to offer a ‘bundle’ </w:t>
      </w:r>
      <w:r>
        <w:rPr>
          <w:rFonts w:cstheme="minorHAnsi"/>
          <w:lang w:val="en-US"/>
        </w:rPr>
        <w:t xml:space="preserve">or </w:t>
      </w:r>
      <w:r>
        <w:t>‘</w:t>
      </w:r>
      <w:r w:rsidRPr="00D76866">
        <w:t>wrap around</w:t>
      </w:r>
      <w:r>
        <w:t>’</w:t>
      </w:r>
      <w:r w:rsidRPr="00D76866">
        <w:t xml:space="preserve"> </w:t>
      </w:r>
      <w:r w:rsidRPr="005C53F4">
        <w:rPr>
          <w:rFonts w:cstheme="minorHAnsi"/>
          <w:lang w:val="en-US"/>
        </w:rPr>
        <w:t xml:space="preserve">supports. </w:t>
      </w:r>
    </w:p>
    <w:p w14:paraId="0C745486" w14:textId="77777777" w:rsidR="00F61E68" w:rsidRDefault="00F61E68" w:rsidP="00F61E68">
      <w:pPr>
        <w:pStyle w:val="Heading3"/>
      </w:pPr>
      <w:r>
        <w:lastRenderedPageBreak/>
        <w:t>‘Enrolment’ approaches</w:t>
      </w:r>
    </w:p>
    <w:p w14:paraId="65DB53F2" w14:textId="77777777" w:rsidR="00F61E68" w:rsidRPr="007D3589" w:rsidRDefault="00F61E68" w:rsidP="00F61E68">
      <w:r w:rsidRPr="002E593E">
        <w:t>Approaches where participants ‘enrol’ with a provider for a period can</w:t>
      </w:r>
      <w:r>
        <w:t xml:space="preserve"> strengthen the focus on a provider’s </w:t>
      </w:r>
      <w:r w:rsidRPr="000F77AA">
        <w:t>relationship with participants</w:t>
      </w:r>
      <w:r>
        <w:t xml:space="preserve"> </w:t>
      </w:r>
      <w:r w:rsidRPr="000F77AA">
        <w:t xml:space="preserve">and </w:t>
      </w:r>
      <w:r>
        <w:t>encourage them to</w:t>
      </w:r>
      <w:r w:rsidRPr="000F77AA">
        <w:t xml:space="preserve"> invest in participants’ capability</w:t>
      </w:r>
      <w:r>
        <w:t xml:space="preserve"> (</w:t>
      </w:r>
      <w:r>
        <w:rPr>
          <w:i/>
        </w:rPr>
        <w:t>Figure </w:t>
      </w:r>
      <w:r w:rsidRPr="00F67F5A">
        <w:rPr>
          <w:i/>
        </w:rPr>
        <w:t>14</w:t>
      </w:r>
      <w:r>
        <w:t>)</w:t>
      </w:r>
      <w:r w:rsidRPr="000F77AA">
        <w:t xml:space="preserve">. </w:t>
      </w:r>
      <w:r>
        <w:t xml:space="preserve">Enrolment approaches also have the potential to stabilise the demand profile for providers. In turn, this may assist providers to shift away from a more casual workforce. </w:t>
      </w:r>
    </w:p>
    <w:p w14:paraId="2A305EC1" w14:textId="77777777" w:rsidR="00F61E68" w:rsidRDefault="00F61E68" w:rsidP="00F61E68">
      <w:pPr>
        <w:rPr>
          <w:rFonts w:cstheme="minorHAnsi"/>
        </w:rPr>
      </w:pPr>
      <w:r w:rsidRPr="00E239E6">
        <w:rPr>
          <w:rFonts w:cstheme="minorHAnsi"/>
        </w:rPr>
        <w:t>Careful design would be required to mitigate the risk of poor outcomes</w:t>
      </w:r>
      <w:r>
        <w:rPr>
          <w:rFonts w:cstheme="minorHAnsi"/>
        </w:rPr>
        <w:t xml:space="preserve"> under </w:t>
      </w:r>
      <w:r>
        <w:t>enrolment approaches</w:t>
      </w:r>
      <w:r>
        <w:rPr>
          <w:rFonts w:cstheme="minorHAnsi"/>
        </w:rPr>
        <w:t>.</w:t>
      </w:r>
      <w:r w:rsidRPr="00E239E6">
        <w:rPr>
          <w:rFonts w:cstheme="minorHAnsi"/>
        </w:rPr>
        <w:t xml:space="preserve"> </w:t>
      </w:r>
      <w:r>
        <w:rPr>
          <w:rFonts w:cstheme="minorHAnsi"/>
        </w:rPr>
        <w:t xml:space="preserve">This includes </w:t>
      </w:r>
      <w:r>
        <w:rPr>
          <w:rStyle w:val="ui-provider"/>
          <w:rFonts w:cstheme="minorHAnsi"/>
        </w:rPr>
        <w:t>careful monitoring and feedback loops to address the risk of provider’s limiting access to services required to meet the needs of participant, or under servicing.</w:t>
      </w:r>
    </w:p>
    <w:p w14:paraId="1CAFE4E9" w14:textId="77777777" w:rsidR="00F61E68" w:rsidRPr="002F0F06" w:rsidRDefault="00F61E68" w:rsidP="00F61E68">
      <w:pPr>
        <w:rPr>
          <w:rStyle w:val="ui-provider"/>
        </w:rPr>
      </w:pPr>
      <w:r>
        <w:rPr>
          <w:rFonts w:cstheme="minorHAnsi"/>
        </w:rPr>
        <w:t>P</w:t>
      </w:r>
      <w:r w:rsidRPr="00E239E6">
        <w:rPr>
          <w:rFonts w:cstheme="minorHAnsi"/>
        </w:rPr>
        <w:t>roviders</w:t>
      </w:r>
      <w:r>
        <w:rPr>
          <w:rFonts w:cstheme="minorHAnsi"/>
        </w:rPr>
        <w:t xml:space="preserve"> may also</w:t>
      </w:r>
      <w:r w:rsidRPr="00E239E6">
        <w:rPr>
          <w:rFonts w:cstheme="minorHAnsi"/>
        </w:rPr>
        <w:t xml:space="preserve"> ‘cherry-pick’ participants</w:t>
      </w:r>
      <w:r>
        <w:rPr>
          <w:rFonts w:cstheme="minorHAnsi"/>
        </w:rPr>
        <w:t xml:space="preserve"> if </w:t>
      </w:r>
      <w:r>
        <w:rPr>
          <w:rStyle w:val="ui-provider"/>
        </w:rPr>
        <w:t xml:space="preserve">enrolment payments are not risk-weighted for the additional costs of supporting participants with complex support needs. Importantly, any adjustment for risk needs to be based on factors that cannot be manipulated by the service providers. Otherwise it is possible for providers to focus more on capturing the payments than improving outcomes for participants. </w:t>
      </w:r>
    </w:p>
    <w:p w14:paraId="22ED8D79" w14:textId="77777777" w:rsidR="00F61E68" w:rsidRDefault="00F61E68" w:rsidP="00F61E68">
      <w:pPr>
        <w:pStyle w:val="Heading3"/>
      </w:pPr>
      <w:r>
        <w:t>‘Blended’ payment approaches</w:t>
      </w:r>
    </w:p>
    <w:p w14:paraId="0E5911BC" w14:textId="77777777" w:rsidR="00F61E68" w:rsidRDefault="00F61E68" w:rsidP="00F61E68">
      <w:r w:rsidRPr="3DFFC190">
        <w:t>Paying providers a ‘blended’ pa</w:t>
      </w:r>
      <w:r>
        <w:t>yment’ – that is, based on a mix</w:t>
      </w:r>
      <w:r w:rsidRPr="3DFFC190">
        <w:t xml:space="preserve"> of payment approaches – could help balance the advantages and disadvantages of particular payment approaches and better align incentives between participants, providers, and governments.</w:t>
      </w:r>
      <w:r>
        <w:t xml:space="preserve"> </w:t>
      </w:r>
    </w:p>
    <w:p w14:paraId="0A0A044F" w14:textId="77777777" w:rsidR="00F61E68" w:rsidRPr="00E239E6" w:rsidRDefault="00F61E68" w:rsidP="00F61E68">
      <w:r>
        <w:t>Well-</w:t>
      </w:r>
      <w:r w:rsidRPr="3DFFC190">
        <w:t xml:space="preserve">designed </w:t>
      </w:r>
      <w:r>
        <w:t>blended payment approaches</w:t>
      </w:r>
      <w:r w:rsidRPr="3DFFC190">
        <w:t xml:space="preserve"> could put a greater focus on participant ou</w:t>
      </w:r>
      <w:r>
        <w:t>tcomes without relying</w:t>
      </w:r>
      <w:r>
        <w:rPr>
          <w:rFonts w:cstheme="minorHAnsi"/>
          <w:lang w:val="en-US"/>
        </w:rPr>
        <w:t xml:space="preserve"> wholly on a pure outcome payment</w:t>
      </w:r>
      <w:r>
        <w:t>. For example, enrolment</w:t>
      </w:r>
      <w:r w:rsidRPr="3DFFC190">
        <w:t xml:space="preserve"> arrangements, when blended with outcome payments, can incentivise providers to reduce costs through providing fewer, or less costly, </w:t>
      </w:r>
      <w:r>
        <w:t xml:space="preserve">supports </w:t>
      </w:r>
      <w:r w:rsidRPr="3DFFC190">
        <w:t xml:space="preserve">and investing in cost-effective preventive and early intervention </w:t>
      </w:r>
      <w:r>
        <w:t>services</w:t>
      </w:r>
      <w:r w:rsidRPr="3DFFC190">
        <w:t xml:space="preserve">. </w:t>
      </w:r>
    </w:p>
    <w:p w14:paraId="3D540837" w14:textId="77777777" w:rsidR="00F61E68" w:rsidRDefault="00866E3A" w:rsidP="00F61E68">
      <w:pPr>
        <w:pStyle w:val="Quote"/>
        <w:rPr>
          <w:rFonts w:eastAsia="Times New Roman" w:cstheme="minorHAnsi"/>
          <w:lang w:eastAsia="en-AU"/>
        </w:rPr>
      </w:pPr>
      <w:r>
        <w:rPr>
          <w:rFonts w:eastAsia="Times New Roman" w:cstheme="minorHAnsi"/>
          <w:lang w:val="en-US" w:eastAsia="en-AU"/>
        </w:rPr>
        <w:lastRenderedPageBreak/>
        <w:t>‘</w:t>
      </w:r>
      <w:r w:rsidR="00F61E68" w:rsidRPr="00E239E6">
        <w:rPr>
          <w:rFonts w:eastAsia="Times New Roman" w:cstheme="minorHAnsi"/>
          <w:lang w:val="en-US" w:eastAsia="en-AU"/>
        </w:rPr>
        <w:t>Blended payment models would allow participants to pay providers in another way instead of only fee-for-service, for example paying more for a provider who can demonstrate high quality service delivery, or paying a provider for meeting a participant’s needs for trust, stability, and relationships over a period of time</w:t>
      </w:r>
      <w:r>
        <w:rPr>
          <w:rFonts w:eastAsia="Times New Roman" w:cstheme="minorHAnsi"/>
          <w:lang w:val="en-US" w:eastAsia="en-AU"/>
        </w:rPr>
        <w:t xml:space="preserve"> instead of service-by-service.’</w:t>
      </w:r>
    </w:p>
    <w:p w14:paraId="5BCC04B0" w14:textId="77777777" w:rsidR="00F61E68" w:rsidRDefault="00F61E68" w:rsidP="00F61E68">
      <w:pPr>
        <w:pStyle w:val="Quote"/>
        <w:rPr>
          <w:rFonts w:eastAsia="Times New Roman"/>
          <w:lang w:eastAsia="en-AU"/>
        </w:rPr>
      </w:pPr>
      <w:r>
        <w:rPr>
          <w:rFonts w:eastAsia="Times New Roman"/>
          <w:lang w:val="en-US" w:eastAsia="en-AU"/>
        </w:rPr>
        <w:t xml:space="preserve">– </w:t>
      </w:r>
      <w:r w:rsidRPr="00906F42">
        <w:rPr>
          <w:rFonts w:eastAsia="Times New Roman"/>
          <w:lang w:eastAsia="en-AU"/>
        </w:rPr>
        <w:t xml:space="preserve">Get </w:t>
      </w:r>
      <w:r w:rsidRPr="00F61E68">
        <w:t>Skilled</w:t>
      </w:r>
      <w:r w:rsidRPr="00906F42">
        <w:rPr>
          <w:rFonts w:eastAsia="Times New Roman"/>
          <w:lang w:eastAsia="en-AU"/>
        </w:rPr>
        <w:t xml:space="preserve"> Access</w:t>
      </w:r>
      <w:r>
        <w:rPr>
          <w:rStyle w:val="EndnoteReference"/>
          <w:rFonts w:eastAsia="Times New Roman" w:cstheme="minorHAnsi"/>
          <w:i w:val="0"/>
          <w:lang w:eastAsia="en-AU"/>
        </w:rPr>
        <w:endnoteReference w:id="68"/>
      </w:r>
    </w:p>
    <w:p w14:paraId="3CDCC48E" w14:textId="77777777" w:rsidR="00F61E68" w:rsidDel="00C442E7" w:rsidRDefault="00F61E68" w:rsidP="00F61E68">
      <w:r w:rsidRPr="3DFFC190">
        <w:t>Any such approach</w:t>
      </w:r>
      <w:r>
        <w:t>es</w:t>
      </w:r>
      <w:r w:rsidRPr="3DFFC190">
        <w:t xml:space="preserve"> would </w:t>
      </w:r>
      <w:r>
        <w:t>benefit from</w:t>
      </w:r>
      <w:r w:rsidRPr="3DFFC190">
        <w:t xml:space="preserve"> an outcomes framework that measure</w:t>
      </w:r>
      <w:r>
        <w:t>s</w:t>
      </w:r>
      <w:r w:rsidRPr="3DFFC190">
        <w:t xml:space="preserve"> whether providers are delivering positive outcomes for participants. This would take considerable time to ‘get right’.</w:t>
      </w:r>
      <w:r>
        <w:t xml:space="preserve"> </w:t>
      </w:r>
    </w:p>
    <w:p w14:paraId="7C6D55A5" w14:textId="20B18607" w:rsidR="00F61E68" w:rsidRPr="00866E3A" w:rsidRDefault="00F61E68" w:rsidP="00C53CA3">
      <w:pPr>
        <w:pStyle w:val="Figure"/>
      </w:pPr>
      <w:bookmarkStart w:id="298" w:name="Fig14"/>
      <w:bookmarkEnd w:id="298"/>
      <w:r w:rsidRPr="00622029">
        <w:rPr>
          <w:rFonts w:eastAsiaTheme="majorEastAsia"/>
        </w:rPr>
        <w:t>Overseas experience suggests enrolment models can promote the delivery of ‘value based’ supports</w:t>
      </w:r>
    </w:p>
    <w:p w14:paraId="097BA7E3" w14:textId="77777777" w:rsidR="00FE6B14" w:rsidRDefault="00FE6B14" w:rsidP="00564311">
      <w:pPr>
        <w:pStyle w:val="B1-Heading3"/>
        <w:pBdr>
          <w:bottom w:val="single" w:sz="48" w:space="14" w:color="EEEDF6" w:themeColor="accent1" w:themeTint="33"/>
        </w:pBdr>
        <w:rPr>
          <w:lang w:eastAsia="en-AU"/>
        </w:rPr>
      </w:pPr>
      <w:r>
        <w:rPr>
          <w:lang w:eastAsia="en-AU"/>
        </w:rPr>
        <w:t xml:space="preserve">An enrolment </w:t>
      </w:r>
      <w:r w:rsidRPr="00E239E6">
        <w:rPr>
          <w:lang w:eastAsia="en-AU"/>
        </w:rPr>
        <w:t xml:space="preserve">‘matrix’ system for a </w:t>
      </w:r>
      <w:r w:rsidRPr="00FE6B14">
        <w:t>knee</w:t>
      </w:r>
      <w:r w:rsidRPr="00E239E6">
        <w:rPr>
          <w:lang w:eastAsia="en-AU"/>
        </w:rPr>
        <w:t xml:space="preserve"> and hip arthroplasty</w:t>
      </w:r>
      <w:r>
        <w:rPr>
          <w:rStyle w:val="EndnoteReference"/>
        </w:rPr>
        <w:endnoteReference w:id="69"/>
      </w:r>
    </w:p>
    <w:p w14:paraId="67E45633" w14:textId="77777777" w:rsidR="00FE6B14" w:rsidRDefault="00FE6B14" w:rsidP="00564311">
      <w:pPr>
        <w:pStyle w:val="B1-Body"/>
        <w:pBdr>
          <w:bottom w:val="single" w:sz="48" w:space="14" w:color="EEEDF6" w:themeColor="accent1" w:themeTint="33"/>
        </w:pBdr>
        <w:rPr>
          <w:lang w:eastAsia="en-AU"/>
        </w:rPr>
      </w:pPr>
      <w:r w:rsidRPr="3DFFC190">
        <w:rPr>
          <w:lang w:eastAsia="en-AU"/>
        </w:rPr>
        <w:t xml:space="preserve">A ‘matrix’ of </w:t>
      </w:r>
      <w:r>
        <w:rPr>
          <w:lang w:eastAsia="en-AU"/>
        </w:rPr>
        <w:t>enrolment</w:t>
      </w:r>
      <w:r w:rsidRPr="3DFFC190">
        <w:rPr>
          <w:lang w:eastAsia="en-AU"/>
        </w:rPr>
        <w:t xml:space="preserve"> payments was introduced in a United States community hospital system, with procedures categorised based on technological sophistication and cost. In the first year after the implementation of the matrix system, implant costs f</w:t>
      </w:r>
      <w:r>
        <w:rPr>
          <w:lang w:eastAsia="en-AU"/>
        </w:rPr>
        <w:t>or the hospital decreased by 23%</w:t>
      </w:r>
      <w:r w:rsidRPr="3DFFC190">
        <w:rPr>
          <w:lang w:eastAsia="en-AU"/>
        </w:rPr>
        <w:t xml:space="preserve"> per implant for knee</w:t>
      </w:r>
      <w:r>
        <w:rPr>
          <w:lang w:eastAsia="en-AU"/>
        </w:rPr>
        <w:t xml:space="preserve"> procedures and 17%</w:t>
      </w:r>
      <w:r w:rsidRPr="3DFFC190">
        <w:rPr>
          <w:lang w:eastAsia="en-AU"/>
        </w:rPr>
        <w:t xml:space="preserve"> per implant for hip procedures.</w:t>
      </w:r>
    </w:p>
    <w:p w14:paraId="3DCBDF35" w14:textId="77777777" w:rsidR="00FE6B14" w:rsidRDefault="00FE6B14" w:rsidP="00564311">
      <w:pPr>
        <w:pStyle w:val="B1-Body"/>
        <w:pBdr>
          <w:bottom w:val="single" w:sz="48" w:space="14" w:color="EEEDF6" w:themeColor="accent1" w:themeTint="33"/>
        </w:pBdr>
        <w:rPr>
          <w:i/>
          <w:lang w:eastAsia="en-AU"/>
        </w:rPr>
      </w:pPr>
      <w:r w:rsidRPr="00FE6B14">
        <w:rPr>
          <w:i/>
          <w:lang w:eastAsia="en-AU"/>
        </w:rPr>
        <w:t>Change in target average price before and after introduction of capitated system</w:t>
      </w:r>
    </w:p>
    <w:p w14:paraId="513ED7AF" w14:textId="77777777" w:rsidR="00B01525" w:rsidRPr="00B01525" w:rsidRDefault="00B01525" w:rsidP="00564311">
      <w:pPr>
        <w:pStyle w:val="B1-Body"/>
        <w:pBdr>
          <w:bottom w:val="single" w:sz="48" w:space="14" w:color="EEEDF6" w:themeColor="accent1" w:themeTint="33"/>
        </w:pBdr>
        <w:rPr>
          <w:lang w:eastAsia="en-AU"/>
        </w:rPr>
      </w:pPr>
      <w:r>
        <w:rPr>
          <w:noProof/>
          <w:lang w:val="en-AU" w:eastAsia="en-AU"/>
        </w:rPr>
        <w:drawing>
          <wp:inline distT="0" distB="0" distL="0" distR="0" wp14:anchorId="03DBCC46" wp14:editId="38652D03">
            <wp:extent cx="3750806" cy="1861674"/>
            <wp:effectExtent l="0" t="0" r="0" b="5715"/>
            <wp:docPr id="2" name="Picture 2" descr="Results from an enrolment ‘matrix’ system for a knee and hip arthroplasty. In the first year after the implementation of the matrix system, implant costs for the hospital decreased by 23% per implant for knee procedures and 17% per implant for hip proced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 14 1.png"/>
                    <pic:cNvPicPr/>
                  </pic:nvPicPr>
                  <pic:blipFill>
                    <a:blip r:embed="rId23">
                      <a:extLst>
                        <a:ext uri="{28A0092B-C50C-407E-A947-70E740481C1C}">
                          <a14:useLocalDpi xmlns:a14="http://schemas.microsoft.com/office/drawing/2010/main" val="0"/>
                        </a:ext>
                      </a:extLst>
                    </a:blip>
                    <a:stretch>
                      <a:fillRect/>
                    </a:stretch>
                  </pic:blipFill>
                  <pic:spPr bwMode="auto">
                    <a:xfrm>
                      <a:off x="0" y="0"/>
                      <a:ext cx="3750806" cy="1861674"/>
                    </a:xfrm>
                    <a:prstGeom prst="rect">
                      <a:avLst/>
                    </a:prstGeom>
                    <a:ln>
                      <a:noFill/>
                    </a:ln>
                    <a:extLst>
                      <a:ext uri="{53640926-AAD7-44D8-BBD7-CCE9431645EC}">
                        <a14:shadowObscured xmlns:a14="http://schemas.microsoft.com/office/drawing/2010/main"/>
                      </a:ext>
                    </a:extLst>
                  </pic:spPr>
                </pic:pic>
              </a:graphicData>
            </a:graphic>
          </wp:inline>
        </w:drawing>
      </w:r>
    </w:p>
    <w:p w14:paraId="72E52FD6" w14:textId="77777777" w:rsidR="00FE6B14" w:rsidRDefault="00FE6B14" w:rsidP="00564311">
      <w:pPr>
        <w:pStyle w:val="B1-Heading3"/>
        <w:pBdr>
          <w:bottom w:val="single" w:sz="48" w:space="14" w:color="EEEDF6" w:themeColor="accent1" w:themeTint="33"/>
        </w:pBdr>
      </w:pPr>
      <w:r>
        <w:t xml:space="preserve">Improved preventive care for Swedish public dental </w:t>
      </w:r>
      <w:r w:rsidRPr="00E239E6">
        <w:t>subscription agreements</w:t>
      </w:r>
      <w:r w:rsidRPr="00FD36D1">
        <w:rPr>
          <w:rStyle w:val="EndnoteReference"/>
          <w:rFonts w:cstheme="minorHAnsi"/>
        </w:rPr>
        <w:endnoteReference w:id="70"/>
      </w:r>
    </w:p>
    <w:p w14:paraId="5D6907B9" w14:textId="77777777" w:rsidR="00FE6B14" w:rsidRDefault="00FE6B14" w:rsidP="00564311">
      <w:pPr>
        <w:pStyle w:val="B1-Body"/>
        <w:pBdr>
          <w:bottom w:val="single" w:sz="48" w:space="14" w:color="EEEDF6" w:themeColor="accent1" w:themeTint="33"/>
        </w:pBdr>
        <w:rPr>
          <w:rFonts w:cstheme="minorHAnsi"/>
          <w:lang w:eastAsia="en-AU"/>
        </w:rPr>
      </w:pPr>
      <w:r w:rsidRPr="00E239E6">
        <w:rPr>
          <w:rFonts w:cstheme="minorHAnsi"/>
          <w:lang w:eastAsia="en-AU"/>
        </w:rPr>
        <w:t xml:space="preserve">Patients were given the option to enter a risk-weighted subscription (capitation) plan with a </w:t>
      </w:r>
      <w:r>
        <w:rPr>
          <w:rFonts w:cstheme="minorHAnsi"/>
          <w:lang w:eastAsia="en-AU"/>
        </w:rPr>
        <w:t>three</w:t>
      </w:r>
      <w:r w:rsidRPr="00E239E6">
        <w:rPr>
          <w:rFonts w:cstheme="minorHAnsi"/>
          <w:lang w:eastAsia="en-AU"/>
        </w:rPr>
        <w:t xml:space="preserve"> year enrolment period as an alternative to fee-for-service plans. Those who chose to </w:t>
      </w:r>
      <w:r w:rsidRPr="00E239E6">
        <w:rPr>
          <w:rFonts w:cstheme="minorHAnsi"/>
          <w:lang w:eastAsia="en-AU"/>
        </w:rPr>
        <w:lastRenderedPageBreak/>
        <w:t>enter a subscription agreement received 66</w:t>
      </w:r>
      <w:r>
        <w:rPr>
          <w:lang w:eastAsia="en-AU"/>
        </w:rPr>
        <w:t>%</w:t>
      </w:r>
      <w:r w:rsidRPr="00E239E6">
        <w:rPr>
          <w:rFonts w:cstheme="minorHAnsi"/>
          <w:lang w:eastAsia="en-AU"/>
        </w:rPr>
        <w:t xml:space="preserve"> more preventive care; and had on average better oral health, than those who entered a fee-for-service plan.</w:t>
      </w:r>
    </w:p>
    <w:p w14:paraId="215A1C1A" w14:textId="77777777" w:rsidR="00464109" w:rsidRPr="00464109" w:rsidRDefault="00FE6B14" w:rsidP="00564311">
      <w:pPr>
        <w:pStyle w:val="B1-Body"/>
        <w:pBdr>
          <w:bottom w:val="single" w:sz="48" w:space="14" w:color="EEEDF6" w:themeColor="accent1" w:themeTint="33"/>
        </w:pBdr>
      </w:pPr>
      <w:r w:rsidRPr="00FE6B14">
        <w:rPr>
          <w:i/>
        </w:rPr>
        <w:t>Proportion of clients receiving additional preventive care</w:t>
      </w:r>
    </w:p>
    <w:p w14:paraId="18F4C765" w14:textId="77777777" w:rsidR="00BC41FA" w:rsidRPr="00BC41FA" w:rsidRDefault="00464109" w:rsidP="00564311">
      <w:pPr>
        <w:pStyle w:val="B1-Body"/>
        <w:pBdr>
          <w:bottom w:val="single" w:sz="48" w:space="14" w:color="EEEDF6" w:themeColor="accent1" w:themeTint="33"/>
        </w:pBdr>
      </w:pPr>
      <w:r>
        <w:rPr>
          <w:noProof/>
          <w:lang w:val="en-AU" w:eastAsia="en-AU"/>
        </w:rPr>
        <w:drawing>
          <wp:inline distT="0" distB="0" distL="0" distR="0" wp14:anchorId="6607C526" wp14:editId="605809D6">
            <wp:extent cx="4309486" cy="1567543"/>
            <wp:effectExtent l="0" t="0" r="0" b="0"/>
            <wp:docPr id="3" name="Picture 3" descr="Results from the preventive care for Swedish public dental subscription agreements. Patients who chose to enter a subscription agreement received 66% more preventive care; and had on average better oral health, than those who entered a fee-for-service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 14 2.png"/>
                    <pic:cNvPicPr/>
                  </pic:nvPicPr>
                  <pic:blipFill>
                    <a:blip r:embed="rId24">
                      <a:extLst>
                        <a:ext uri="{28A0092B-C50C-407E-A947-70E740481C1C}">
                          <a14:useLocalDpi xmlns:a14="http://schemas.microsoft.com/office/drawing/2010/main" val="0"/>
                        </a:ext>
                      </a:extLst>
                    </a:blip>
                    <a:stretch>
                      <a:fillRect/>
                    </a:stretch>
                  </pic:blipFill>
                  <pic:spPr bwMode="auto">
                    <a:xfrm>
                      <a:off x="0" y="0"/>
                      <a:ext cx="4341601" cy="1579225"/>
                    </a:xfrm>
                    <a:prstGeom prst="rect">
                      <a:avLst/>
                    </a:prstGeom>
                    <a:ln>
                      <a:noFill/>
                    </a:ln>
                    <a:extLst>
                      <a:ext uri="{53640926-AAD7-44D8-BBD7-CCE9431645EC}">
                        <a14:shadowObscured xmlns:a14="http://schemas.microsoft.com/office/drawing/2010/main"/>
                      </a:ext>
                    </a:extLst>
                  </pic:spPr>
                </pic:pic>
              </a:graphicData>
            </a:graphic>
          </wp:inline>
        </w:drawing>
      </w:r>
    </w:p>
    <w:p w14:paraId="01923F25" w14:textId="77777777" w:rsidR="00FE6B14" w:rsidRPr="00B3743C" w:rsidRDefault="00FE6B14" w:rsidP="00564311">
      <w:pPr>
        <w:pStyle w:val="B1-Heading3"/>
        <w:pBdr>
          <w:bottom w:val="single" w:sz="48" w:space="14" w:color="EEEDF6" w:themeColor="accent1" w:themeTint="33"/>
        </w:pBdr>
        <w:rPr>
          <w:i/>
        </w:rPr>
      </w:pPr>
      <w:r>
        <w:t>Enrolment</w:t>
      </w:r>
      <w:r w:rsidRPr="3DFFC190">
        <w:t xml:space="preserve"> </w:t>
      </w:r>
      <w:r>
        <w:t>approaches have been found to reduce</w:t>
      </w:r>
      <w:r w:rsidRPr="3DFFC190">
        <w:t xml:space="preserve"> healthcare costs</w:t>
      </w:r>
      <w:r>
        <w:t xml:space="preserve"> and improve outcomes</w:t>
      </w:r>
      <w:r w:rsidRPr="3DFFC190">
        <w:rPr>
          <w:rStyle w:val="EndnoteReference"/>
        </w:rPr>
        <w:endnoteReference w:id="71"/>
      </w:r>
    </w:p>
    <w:p w14:paraId="628D0C90" w14:textId="77777777" w:rsidR="00F61E68" w:rsidRPr="00F60123" w:rsidRDefault="00FE6B14" w:rsidP="00564311">
      <w:pPr>
        <w:pStyle w:val="B1-Body"/>
        <w:pBdr>
          <w:bottom w:val="single" w:sz="48" w:space="14" w:color="EEEDF6" w:themeColor="accent1" w:themeTint="33"/>
        </w:pBdr>
        <w:rPr>
          <w:rFonts w:cstheme="minorHAnsi"/>
          <w:lang w:eastAsia="en-AU"/>
        </w:rPr>
      </w:pPr>
      <w:r>
        <w:rPr>
          <w:rFonts w:cstheme="minorHAnsi"/>
          <w:lang w:eastAsia="en-AU"/>
        </w:rPr>
        <w:t>For instance, researchers in the United States</w:t>
      </w:r>
      <w:r w:rsidRPr="00E239E6">
        <w:rPr>
          <w:rFonts w:cstheme="minorHAnsi"/>
          <w:lang w:eastAsia="en-AU"/>
        </w:rPr>
        <w:t xml:space="preserve"> evaluated the cost of care for Medicaid patients with severe mental illness. The end result found that a</w:t>
      </w:r>
      <w:r>
        <w:rPr>
          <w:rFonts w:cstheme="minorHAnsi"/>
          <w:lang w:eastAsia="en-AU"/>
        </w:rPr>
        <w:t xml:space="preserve">n enrolment </w:t>
      </w:r>
      <w:r w:rsidRPr="00E239E6">
        <w:rPr>
          <w:rFonts w:cstheme="minorHAnsi"/>
          <w:lang w:eastAsia="en-AU"/>
        </w:rPr>
        <w:t xml:space="preserve">model with a for-profit element was more cost-effective than the fee-for-service model or the not-for-profit </w:t>
      </w:r>
      <w:r>
        <w:rPr>
          <w:rFonts w:cstheme="minorHAnsi"/>
          <w:lang w:eastAsia="en-AU"/>
        </w:rPr>
        <w:t>enrolment</w:t>
      </w:r>
      <w:r w:rsidRPr="00E239E6">
        <w:rPr>
          <w:rFonts w:cstheme="minorHAnsi"/>
          <w:lang w:eastAsia="en-AU"/>
        </w:rPr>
        <w:t xml:space="preserve"> group.</w:t>
      </w:r>
      <w:r>
        <w:rPr>
          <w:rStyle w:val="EndnoteReference"/>
          <w:rFonts w:cstheme="minorHAnsi"/>
          <w:lang w:eastAsia="en-AU"/>
        </w:rPr>
        <w:endnoteReference w:id="72"/>
      </w:r>
    </w:p>
    <w:p w14:paraId="5827CAE7" w14:textId="200B8730" w:rsidR="00F61E68" w:rsidRPr="00D82172" w:rsidRDefault="00F61E68" w:rsidP="00012A6F">
      <w:pPr>
        <w:pStyle w:val="B1-Heading1"/>
        <w:outlineLvl w:val="2"/>
        <w:rPr>
          <w:i/>
        </w:rPr>
      </w:pPr>
      <w:r w:rsidRPr="00F325AD">
        <w:t>Finding 2</w:t>
      </w:r>
      <w:r w:rsidR="00F325AD" w:rsidRPr="00F325AD">
        <w:t xml:space="preserve">: </w:t>
      </w:r>
      <w:r w:rsidRPr="00F325AD">
        <w:t>T</w:t>
      </w:r>
      <w:r w:rsidRPr="00B56ED6">
        <w:t>he fee-for-service payment approach rewards NDIS providers for the volume of supports they deliver, rather than for supporting participants to achieve outcomes</w:t>
      </w:r>
    </w:p>
    <w:p w14:paraId="099FD604" w14:textId="77777777" w:rsidR="00F61E68" w:rsidRPr="00B56ED6" w:rsidRDefault="00F61E68" w:rsidP="009D296A">
      <w:pPr>
        <w:pStyle w:val="B1-Body"/>
      </w:pPr>
      <w:r w:rsidRPr="00B56ED6">
        <w:t>Fee-for-service payment</w:t>
      </w:r>
      <w:r>
        <w:t xml:space="preserve"> approache</w:t>
      </w:r>
      <w:r w:rsidRPr="00B56ED6">
        <w:t xml:space="preserve">s are </w:t>
      </w:r>
      <w:r>
        <w:t>easy</w:t>
      </w:r>
      <w:r w:rsidRPr="00B56ED6">
        <w:t xml:space="preserve"> to administer and understand, but also have drawbacks. For most NDIS supports, providers are paid for each hour of service they deliver, regardless of the ‘value’ for participants. </w:t>
      </w:r>
    </w:p>
    <w:p w14:paraId="53E1FF9D" w14:textId="77777777" w:rsidR="00F61E68" w:rsidRPr="00B56ED6" w:rsidRDefault="00F61E68" w:rsidP="009D296A">
      <w:pPr>
        <w:pStyle w:val="B1-Body"/>
      </w:pPr>
      <w:r w:rsidRPr="00B56ED6">
        <w:t>This means there are perverse incentives for providers to maximise the volume and types of supports they deliver, in order to maximise the total payment they receive. This, in turn, does not reward provider</w:t>
      </w:r>
      <w:r>
        <w:t>s</w:t>
      </w:r>
      <w:r w:rsidRPr="00B56ED6">
        <w:t xml:space="preserve"> to support participants to be more independent and can place pressure on scheme sustainability.</w:t>
      </w:r>
    </w:p>
    <w:p w14:paraId="201811AA" w14:textId="77777777" w:rsidR="00F61E68" w:rsidRPr="00B56ED6" w:rsidRDefault="00F61E68" w:rsidP="00012A6F">
      <w:pPr>
        <w:pStyle w:val="B1-Heading2"/>
        <w:outlineLvl w:val="3"/>
      </w:pPr>
      <w:r w:rsidRPr="00B56ED6">
        <w:t>Focus areas for further consultation</w:t>
      </w:r>
    </w:p>
    <w:p w14:paraId="566A6240" w14:textId="77777777" w:rsidR="00F61E68" w:rsidRPr="00B56ED6" w:rsidRDefault="00F61E68" w:rsidP="009D296A">
      <w:pPr>
        <w:pStyle w:val="B1-Body"/>
      </w:pPr>
      <w:r w:rsidRPr="00B56ED6">
        <w:lastRenderedPageBreak/>
        <w:t>Other payment approaches</w:t>
      </w:r>
      <w:r>
        <w:t xml:space="preserve"> (</w:t>
      </w:r>
      <w:r w:rsidRPr="00B56ED6">
        <w:t>such as</w:t>
      </w:r>
      <w:r>
        <w:t>,</w:t>
      </w:r>
      <w:r w:rsidRPr="00B56ED6">
        <w:t xml:space="preserve"> </w:t>
      </w:r>
      <w:r w:rsidRPr="3DFFC190">
        <w:t>outcome</w:t>
      </w:r>
      <w:r>
        <w:t>,</w:t>
      </w:r>
      <w:r w:rsidRPr="3DFFC190">
        <w:t xml:space="preserve"> </w:t>
      </w:r>
      <w:r>
        <w:t xml:space="preserve">enrolment and blended </w:t>
      </w:r>
      <w:r w:rsidRPr="00B56ED6">
        <w:t>payments</w:t>
      </w:r>
      <w:r>
        <w:t>)</w:t>
      </w:r>
      <w:r w:rsidRPr="00B56ED6">
        <w:t xml:space="preserve"> could be used to better align incentives for providers with the interest</w:t>
      </w:r>
      <w:r>
        <w:t>s</w:t>
      </w:r>
      <w:r w:rsidRPr="00B56ED6">
        <w:t xml:space="preserve"> of participants and governments and promote the delivery of ‘value-based’ supports in the NDIS. </w:t>
      </w:r>
    </w:p>
    <w:p w14:paraId="4A4813A1" w14:textId="77777777" w:rsidR="00F61E68" w:rsidRPr="00B56ED6" w:rsidRDefault="00F61E68" w:rsidP="009D296A">
      <w:pPr>
        <w:pStyle w:val="B1-Body"/>
      </w:pPr>
      <w:r w:rsidRPr="00B56ED6">
        <w:t xml:space="preserve">However, it is important to carefully consider the advantages and disadvantages of different payment approaches to avoid introducing perverse incentives for providers and maintain choice. </w:t>
      </w:r>
    </w:p>
    <w:p w14:paraId="4A25F449" w14:textId="77777777" w:rsidR="00F61E68" w:rsidRPr="00866E3A" w:rsidRDefault="00F61E68" w:rsidP="009D296A">
      <w:pPr>
        <w:pStyle w:val="B1-Body"/>
        <w:rPr>
          <w:b/>
          <w:i/>
        </w:rPr>
      </w:pPr>
      <w:r w:rsidRPr="00866E3A">
        <w:rPr>
          <w:b/>
          <w:i/>
        </w:rPr>
        <w:t>We want to hear from you about opportunities to use other payment approaches in the NDIS along with complementary measures (such as, improved market monitoring).</w:t>
      </w:r>
    </w:p>
    <w:p w14:paraId="2D196478" w14:textId="77777777" w:rsidR="00F61E68" w:rsidRPr="00F325AD" w:rsidRDefault="00F61E68" w:rsidP="009D296A">
      <w:pPr>
        <w:pStyle w:val="B1-Body"/>
        <w:rPr>
          <w:b/>
          <w:i/>
        </w:rPr>
      </w:pPr>
      <w:r w:rsidRPr="00F325AD">
        <w:rPr>
          <w:b/>
          <w:i/>
        </w:rPr>
        <w:t>We are interested in what approaches could be considered for different types of supports, including daily living supports, therapy supports and others.</w:t>
      </w:r>
    </w:p>
    <w:p w14:paraId="4230222A" w14:textId="77777777" w:rsidR="00F61E68" w:rsidRPr="002D26D4" w:rsidRDefault="00F61E68" w:rsidP="009D296A">
      <w:pPr>
        <w:pStyle w:val="B1-Body"/>
        <w:rPr>
          <w:b/>
          <w:i/>
        </w:rPr>
      </w:pPr>
      <w:r w:rsidRPr="002D26D4">
        <w:rPr>
          <w:b/>
          <w:i/>
        </w:rPr>
        <w:t>We are also inte</w:t>
      </w:r>
      <w:r w:rsidR="002D26D4">
        <w:rPr>
          <w:b/>
          <w:i/>
        </w:rPr>
        <w:t>rested</w:t>
      </w:r>
      <w:r w:rsidRPr="002D26D4">
        <w:rPr>
          <w:b/>
          <w:i/>
        </w:rPr>
        <w:t xml:space="preserve"> in how these approaches may potentially be implemented in the scheme.</w:t>
      </w:r>
      <w:r w:rsidRPr="002D26D4">
        <w:rPr>
          <w:b/>
          <w:i/>
        </w:rPr>
        <w:br w:type="page"/>
      </w:r>
    </w:p>
    <w:p w14:paraId="4B9B858A" w14:textId="77777777" w:rsidR="00F61E68" w:rsidRPr="00E239E6" w:rsidRDefault="00F61E68" w:rsidP="00F61E68">
      <w:pPr>
        <w:pStyle w:val="Heading2"/>
        <w:numPr>
          <w:ilvl w:val="0"/>
          <w:numId w:val="26"/>
        </w:numPr>
        <w:rPr>
          <w:rFonts w:asciiTheme="minorHAnsi" w:hAnsiTheme="minorHAnsi" w:cstheme="minorHAnsi"/>
        </w:rPr>
      </w:pPr>
      <w:bookmarkStart w:id="299" w:name="_Toc132623273"/>
      <w:bookmarkStart w:id="300" w:name="_Toc132624479"/>
      <w:bookmarkStart w:id="301" w:name="_Toc132635190"/>
      <w:bookmarkStart w:id="302" w:name="_Toc134122492"/>
      <w:bookmarkStart w:id="303" w:name="_Toc134621121"/>
      <w:bookmarkStart w:id="304" w:name="_Toc135390391"/>
      <w:r>
        <w:rPr>
          <w:rFonts w:asciiTheme="minorHAnsi" w:hAnsiTheme="minorHAnsi" w:cstheme="minorHAnsi"/>
        </w:rPr>
        <w:lastRenderedPageBreak/>
        <w:t xml:space="preserve">A new overarching approach to the NDIS market and </w:t>
      </w:r>
      <w:r w:rsidRPr="00E239E6">
        <w:rPr>
          <w:rFonts w:asciiTheme="minorHAnsi" w:hAnsiTheme="minorHAnsi" w:cstheme="minorHAnsi"/>
        </w:rPr>
        <w:t>pricing and payment</w:t>
      </w:r>
      <w:r>
        <w:rPr>
          <w:rFonts w:asciiTheme="minorHAnsi" w:hAnsiTheme="minorHAnsi" w:cstheme="minorHAnsi"/>
        </w:rPr>
        <w:t>s</w:t>
      </w:r>
      <w:r w:rsidRPr="00E239E6">
        <w:rPr>
          <w:rFonts w:asciiTheme="minorHAnsi" w:hAnsiTheme="minorHAnsi" w:cstheme="minorHAnsi"/>
        </w:rPr>
        <w:t xml:space="preserve"> </w:t>
      </w:r>
      <w:r>
        <w:rPr>
          <w:rFonts w:asciiTheme="minorHAnsi" w:hAnsiTheme="minorHAnsi" w:cstheme="minorHAnsi"/>
        </w:rPr>
        <w:t>may be</w:t>
      </w:r>
      <w:r w:rsidRPr="00E239E6">
        <w:rPr>
          <w:rFonts w:asciiTheme="minorHAnsi" w:hAnsiTheme="minorHAnsi" w:cstheme="minorHAnsi"/>
        </w:rPr>
        <w:t xml:space="preserve"> needed</w:t>
      </w:r>
      <w:bookmarkEnd w:id="299"/>
      <w:bookmarkEnd w:id="300"/>
      <w:bookmarkEnd w:id="301"/>
      <w:bookmarkEnd w:id="302"/>
      <w:bookmarkEnd w:id="303"/>
      <w:bookmarkEnd w:id="304"/>
    </w:p>
    <w:p w14:paraId="285EE8A2" w14:textId="77777777" w:rsidR="00F61E68" w:rsidRPr="00E239E6" w:rsidRDefault="00F61E68" w:rsidP="00F61E68">
      <w:pPr>
        <w:rPr>
          <w:rFonts w:cstheme="minorHAnsi"/>
          <w:lang w:val="en-US"/>
        </w:rPr>
      </w:pPr>
      <w:r>
        <w:rPr>
          <w:rFonts w:cstheme="minorHAnsi"/>
          <w:lang w:val="en-US"/>
        </w:rPr>
        <w:t xml:space="preserve">Clearly </w:t>
      </w:r>
      <w:r w:rsidRPr="00E239E6">
        <w:rPr>
          <w:rFonts w:cstheme="minorHAnsi"/>
          <w:lang w:val="en-US"/>
        </w:rPr>
        <w:t>there</w:t>
      </w:r>
      <w:r>
        <w:rPr>
          <w:rFonts w:cstheme="minorHAnsi"/>
          <w:lang w:val="en-US"/>
        </w:rPr>
        <w:t xml:space="preserve"> is a</w:t>
      </w:r>
      <w:r w:rsidRPr="00E239E6">
        <w:rPr>
          <w:rFonts w:cstheme="minorHAnsi"/>
          <w:lang w:val="en-US"/>
        </w:rPr>
        <w:t xml:space="preserve"> nee</w:t>
      </w:r>
      <w:r>
        <w:rPr>
          <w:rFonts w:cstheme="minorHAnsi"/>
          <w:lang w:val="en-US"/>
        </w:rPr>
        <w:t>d</w:t>
      </w:r>
      <w:r w:rsidRPr="00E239E6">
        <w:rPr>
          <w:rFonts w:cstheme="minorHAnsi"/>
          <w:lang w:val="en-US"/>
        </w:rPr>
        <w:t xml:space="preserve"> to</w:t>
      </w:r>
      <w:r>
        <w:rPr>
          <w:rFonts w:cstheme="minorHAnsi"/>
          <w:lang w:val="en-US"/>
        </w:rPr>
        <w:t xml:space="preserve"> move</w:t>
      </w:r>
      <w:r w:rsidRPr="00E239E6">
        <w:rPr>
          <w:rFonts w:cstheme="minorHAnsi"/>
          <w:lang w:val="en-US"/>
        </w:rPr>
        <w:t xml:space="preserve"> away from the past over</w:t>
      </w:r>
      <w:r>
        <w:rPr>
          <w:rFonts w:cstheme="minorHAnsi"/>
          <w:lang w:val="en-US"/>
        </w:rPr>
        <w:noBreakHyphen/>
      </w:r>
      <w:r w:rsidRPr="00E239E6">
        <w:rPr>
          <w:rFonts w:cstheme="minorHAnsi"/>
          <w:lang w:val="en-US"/>
        </w:rPr>
        <w:t xml:space="preserve">reliance on pure competition and </w:t>
      </w:r>
      <w:r>
        <w:rPr>
          <w:rFonts w:cstheme="minorHAnsi"/>
          <w:lang w:val="en-US"/>
        </w:rPr>
        <w:t>the current pricing and payments approach, which is not transparent and applied bluntly</w:t>
      </w:r>
      <w:r w:rsidRPr="00E239E6">
        <w:rPr>
          <w:rFonts w:cstheme="minorHAnsi"/>
          <w:lang w:val="en-US"/>
        </w:rPr>
        <w:t xml:space="preserve">. </w:t>
      </w:r>
    </w:p>
    <w:p w14:paraId="5C0F5F19" w14:textId="77777777" w:rsidR="00F61E68" w:rsidRDefault="00F61E68" w:rsidP="00F61E68">
      <w:pPr>
        <w:rPr>
          <w:rFonts w:cstheme="minorHAnsi"/>
          <w:lang w:val="en-US"/>
        </w:rPr>
      </w:pPr>
      <w:r>
        <w:rPr>
          <w:rFonts w:cstheme="minorHAnsi"/>
          <w:lang w:val="en-US"/>
        </w:rPr>
        <w:t>W</w:t>
      </w:r>
      <w:r w:rsidRPr="00E239E6">
        <w:rPr>
          <w:rFonts w:cstheme="minorHAnsi"/>
          <w:lang w:val="en-US"/>
        </w:rPr>
        <w:t xml:space="preserve">hen designing market-based service delivery approaches, </w:t>
      </w:r>
      <w:r>
        <w:rPr>
          <w:rFonts w:cstheme="minorHAnsi"/>
          <w:lang w:val="en-US"/>
        </w:rPr>
        <w:t>governments</w:t>
      </w:r>
      <w:r w:rsidRPr="00E239E6">
        <w:rPr>
          <w:rFonts w:cstheme="minorHAnsi"/>
          <w:lang w:val="en-US"/>
        </w:rPr>
        <w:t xml:space="preserve"> must understand the nature of participants, supports</w:t>
      </w:r>
      <w:r>
        <w:rPr>
          <w:rFonts w:cstheme="minorHAnsi"/>
          <w:lang w:val="en-US"/>
        </w:rPr>
        <w:t xml:space="preserve"> </w:t>
      </w:r>
      <w:r w:rsidRPr="00E239E6">
        <w:rPr>
          <w:rFonts w:cstheme="minorHAnsi"/>
          <w:lang w:val="en-US"/>
        </w:rPr>
        <w:t>and providers</w:t>
      </w:r>
      <w:r>
        <w:rPr>
          <w:rFonts w:cstheme="minorHAnsi"/>
          <w:lang w:val="en-US"/>
        </w:rPr>
        <w:t>. A</w:t>
      </w:r>
      <w:r w:rsidRPr="00E239E6">
        <w:rPr>
          <w:rFonts w:cstheme="minorHAnsi"/>
          <w:lang w:val="en-US"/>
        </w:rPr>
        <w:t xml:space="preserve"> mix of market tools </w:t>
      </w:r>
      <w:r>
        <w:rPr>
          <w:rFonts w:cstheme="minorHAnsi"/>
          <w:lang w:val="en-US"/>
        </w:rPr>
        <w:t xml:space="preserve">should be applied </w:t>
      </w:r>
      <w:r w:rsidRPr="00E239E6">
        <w:rPr>
          <w:rFonts w:cstheme="minorHAnsi"/>
          <w:lang w:val="en-US"/>
        </w:rPr>
        <w:t>(</w:t>
      </w:r>
      <w:r w:rsidRPr="0016290B">
        <w:rPr>
          <w:rFonts w:cstheme="minorHAnsi"/>
          <w:i/>
          <w:lang w:val="en-US"/>
        </w:rPr>
        <w:t>Section</w:t>
      </w:r>
      <w:r>
        <w:rPr>
          <w:rFonts w:cstheme="minorHAnsi"/>
          <w:i/>
          <w:lang w:val="en-US"/>
        </w:rPr>
        <w:t> </w:t>
      </w:r>
      <w:r w:rsidRPr="0016290B">
        <w:rPr>
          <w:rFonts w:cstheme="minorHAnsi"/>
          <w:i/>
          <w:lang w:val="en-US"/>
        </w:rPr>
        <w:t>2</w:t>
      </w:r>
      <w:r w:rsidRPr="00E239E6">
        <w:rPr>
          <w:rFonts w:cstheme="minorHAnsi"/>
          <w:lang w:val="en-US"/>
        </w:rPr>
        <w:t xml:space="preserve">). </w:t>
      </w:r>
    </w:p>
    <w:p w14:paraId="54C03086" w14:textId="77777777" w:rsidR="00F61E68" w:rsidRPr="00E239E6" w:rsidRDefault="00F61E68" w:rsidP="00F61E68">
      <w:pPr>
        <w:rPr>
          <w:rFonts w:cstheme="minorHAnsi"/>
          <w:lang w:val="en-US"/>
        </w:rPr>
      </w:pPr>
      <w:r>
        <w:rPr>
          <w:rFonts w:cstheme="minorHAnsi"/>
          <w:lang w:val="en-US"/>
        </w:rPr>
        <w:t>We are</w:t>
      </w:r>
      <w:r w:rsidRPr="00270602">
        <w:rPr>
          <w:rFonts w:cstheme="minorHAnsi"/>
          <w:lang w:val="en-US"/>
        </w:rPr>
        <w:t xml:space="preserve"> considering how market coordination</w:t>
      </w:r>
      <w:r>
        <w:rPr>
          <w:rFonts w:cstheme="minorHAnsi"/>
          <w:lang w:val="en-US"/>
        </w:rPr>
        <w:t>, settings</w:t>
      </w:r>
      <w:r w:rsidRPr="00270602">
        <w:rPr>
          <w:rFonts w:cstheme="minorHAnsi"/>
          <w:lang w:val="en-US"/>
        </w:rPr>
        <w:t xml:space="preserve"> and alternative commissioning can be better used to achieve a </w:t>
      </w:r>
      <w:r w:rsidRPr="00270602">
        <w:rPr>
          <w:rFonts w:cstheme="minorHAnsi"/>
        </w:rPr>
        <w:t>responsive and well-functioning NDIS mark</w:t>
      </w:r>
      <w:r w:rsidRPr="00E239E6">
        <w:rPr>
          <w:rFonts w:cstheme="minorHAnsi"/>
        </w:rPr>
        <w:t>et.</w:t>
      </w:r>
      <w:r w:rsidRPr="00E239E6">
        <w:rPr>
          <w:rFonts w:cstheme="minorHAnsi"/>
          <w:lang w:val="en-US"/>
        </w:rPr>
        <w:t xml:space="preserve"> Even so, pricing and payment approaches will remain central to the functioning of the NDIS market. </w:t>
      </w:r>
    </w:p>
    <w:p w14:paraId="6C127AD7" w14:textId="77777777" w:rsidR="00F61E68" w:rsidRDefault="00F61E68" w:rsidP="00F61E68">
      <w:pPr>
        <w:pStyle w:val="Heading3"/>
        <w:rPr>
          <w:lang w:val="en-US"/>
        </w:rPr>
      </w:pPr>
      <w:r>
        <w:rPr>
          <w:lang w:val="en-US"/>
        </w:rPr>
        <w:t>The current p</w:t>
      </w:r>
      <w:r w:rsidRPr="00DE39B3">
        <w:rPr>
          <w:lang w:val="en-US"/>
        </w:rPr>
        <w:t>rice caps were planned to be a transitionary</w:t>
      </w:r>
      <w:r>
        <w:rPr>
          <w:lang w:val="en-US"/>
        </w:rPr>
        <w:t xml:space="preserve"> measure</w:t>
      </w:r>
    </w:p>
    <w:p w14:paraId="1BFF751B" w14:textId="77777777" w:rsidR="00F61E68" w:rsidRPr="00BE4405" w:rsidRDefault="00F61E68" w:rsidP="00F61E68">
      <w:pPr>
        <w:rPr>
          <w:rFonts w:cstheme="minorHAnsi"/>
          <w:lang w:val="en-US"/>
        </w:rPr>
      </w:pPr>
      <w:r w:rsidRPr="00E239E6">
        <w:rPr>
          <w:rFonts w:cstheme="minorHAnsi"/>
          <w:lang w:val="en-US"/>
        </w:rPr>
        <w:t>There has been a long held view that prices should be deregulated once the NDIS market is mature.</w:t>
      </w:r>
    </w:p>
    <w:p w14:paraId="323C4EF9" w14:textId="77777777" w:rsidR="00F61E68" w:rsidRDefault="00866E3A" w:rsidP="00F61E68">
      <w:pPr>
        <w:pStyle w:val="Quote"/>
        <w:keepNext/>
        <w:keepLines/>
        <w:rPr>
          <w:rFonts w:cstheme="minorHAnsi"/>
        </w:rPr>
      </w:pPr>
      <w:r>
        <w:rPr>
          <w:rFonts w:cstheme="minorHAnsi"/>
        </w:rPr>
        <w:t>‘</w:t>
      </w:r>
      <w:r w:rsidR="00F61E68" w:rsidRPr="00E239E6">
        <w:rPr>
          <w:rFonts w:cstheme="minorHAnsi"/>
        </w:rPr>
        <w:t>Prices should only be regulated as narrowly and f</w:t>
      </w:r>
      <w:r>
        <w:rPr>
          <w:rFonts w:cstheme="minorHAnsi"/>
        </w:rPr>
        <w:t>or as short a time as possible.’</w:t>
      </w:r>
    </w:p>
    <w:p w14:paraId="4EAE68D8" w14:textId="77777777" w:rsidR="00F61E68" w:rsidRPr="00423AB7" w:rsidRDefault="00F61E68" w:rsidP="00F61E68">
      <w:pPr>
        <w:pStyle w:val="Quote"/>
      </w:pPr>
      <w:r>
        <w:rPr>
          <w:rFonts w:eastAsia="Times New Roman"/>
          <w:lang w:val="en-US" w:eastAsia="en-AU"/>
        </w:rPr>
        <w:t xml:space="preserve">– </w:t>
      </w:r>
      <w:r w:rsidRPr="00F61E68">
        <w:t>Productivity</w:t>
      </w:r>
      <w:r w:rsidRPr="004A091E">
        <w:t xml:space="preserve"> Commission</w:t>
      </w:r>
      <w:r>
        <w:rPr>
          <w:rStyle w:val="EndnoteReference"/>
          <w:rFonts w:cstheme="minorHAnsi"/>
          <w:i w:val="0"/>
        </w:rPr>
        <w:endnoteReference w:id="73"/>
      </w:r>
    </w:p>
    <w:p w14:paraId="13F8FDC3" w14:textId="77777777" w:rsidR="00F61E68" w:rsidRPr="00E239E6" w:rsidRDefault="00F61E68" w:rsidP="00F61E68">
      <w:pPr>
        <w:rPr>
          <w:rFonts w:cstheme="minorHAnsi"/>
          <w:lang w:val="en-US"/>
        </w:rPr>
      </w:pPr>
      <w:r w:rsidRPr="00E239E6">
        <w:rPr>
          <w:rFonts w:cstheme="minorHAnsi"/>
          <w:lang w:val="en-US"/>
        </w:rPr>
        <w:t xml:space="preserve">The NDIA’s 2019 Pricing Strategy lays out a </w:t>
      </w:r>
      <w:r>
        <w:rPr>
          <w:rFonts w:cstheme="minorHAnsi"/>
          <w:lang w:val="en-US"/>
        </w:rPr>
        <w:t>four</w:t>
      </w:r>
      <w:r w:rsidRPr="00E239E6">
        <w:rPr>
          <w:rFonts w:cstheme="minorHAnsi"/>
          <w:lang w:val="en-US"/>
        </w:rPr>
        <w:t>-step t</w:t>
      </w:r>
      <w:r w:rsidR="00866E3A">
        <w:rPr>
          <w:rFonts w:cstheme="minorHAnsi"/>
          <w:lang w:val="en-US"/>
        </w:rPr>
        <w:t>ransition approach for pricing ‘</w:t>
      </w:r>
      <w:r w:rsidRPr="00E239E6">
        <w:rPr>
          <w:rFonts w:cstheme="minorHAnsi"/>
        </w:rPr>
        <w:t>…</w:t>
      </w:r>
      <w:r w:rsidRPr="00E239E6">
        <w:rPr>
          <w:rFonts w:cstheme="minorHAnsi"/>
          <w:lang w:val="en-US"/>
        </w:rPr>
        <w:t xml:space="preserve"> aimed at maintaining and increasing market supply, assisting in the transition of the NDIS to full roll out and helping markets grow to a more mature </w:t>
      </w:r>
      <w:r w:rsidRPr="00E239E6">
        <w:rPr>
          <w:rFonts w:cstheme="minorHAnsi"/>
          <w:lang w:val="en-US"/>
        </w:rPr>
        <w:lastRenderedPageBreak/>
        <w:t>state in the future, while recognising the need for financial sustainability</w:t>
      </w:r>
      <w:r w:rsidR="00866E3A">
        <w:rPr>
          <w:rFonts w:cstheme="minorHAnsi"/>
          <w:lang w:val="en-US"/>
        </w:rPr>
        <w:t>’</w:t>
      </w:r>
      <w:r>
        <w:rPr>
          <w:rFonts w:cstheme="minorHAnsi"/>
          <w:lang w:val="en-US"/>
        </w:rPr>
        <w:t xml:space="preserve"> (</w:t>
      </w:r>
      <w:r>
        <w:rPr>
          <w:rFonts w:cstheme="minorHAnsi"/>
          <w:i/>
          <w:lang w:val="en-US"/>
        </w:rPr>
        <w:t>Figure 15</w:t>
      </w:r>
      <w:r w:rsidRPr="00F67F5A">
        <w:rPr>
          <w:rFonts w:cstheme="minorHAnsi"/>
          <w:lang w:val="en-US"/>
        </w:rPr>
        <w:t>)</w:t>
      </w:r>
      <w:r w:rsidRPr="00E239E6">
        <w:rPr>
          <w:rFonts w:cstheme="minorHAnsi"/>
          <w:lang w:val="en-US"/>
        </w:rPr>
        <w:t>.</w:t>
      </w:r>
      <w:r>
        <w:rPr>
          <w:rStyle w:val="EndnoteReference"/>
          <w:rFonts w:cstheme="minorHAnsi"/>
          <w:lang w:val="en-US"/>
        </w:rPr>
        <w:endnoteReference w:id="74"/>
      </w:r>
    </w:p>
    <w:p w14:paraId="522BECC4" w14:textId="77777777" w:rsidR="00F61E68" w:rsidRDefault="00F61E68" w:rsidP="00F61E68">
      <w:pPr>
        <w:rPr>
          <w:lang w:val="en-US"/>
        </w:rPr>
      </w:pPr>
      <w:r w:rsidRPr="00E239E6">
        <w:rPr>
          <w:rFonts w:cstheme="minorHAnsi"/>
        </w:rPr>
        <w:t xml:space="preserve">The NDIA’s approach seeks to decrease the level of pricing intervention – moving from the current </w:t>
      </w:r>
      <w:r>
        <w:rPr>
          <w:rFonts w:cstheme="minorHAnsi"/>
        </w:rPr>
        <w:t>‘</w:t>
      </w:r>
      <w:r w:rsidRPr="00E239E6">
        <w:rPr>
          <w:rFonts w:cstheme="minorHAnsi"/>
        </w:rPr>
        <w:t>heavy handed</w:t>
      </w:r>
      <w:r>
        <w:rPr>
          <w:rFonts w:cstheme="minorHAnsi"/>
        </w:rPr>
        <w:t>’</w:t>
      </w:r>
      <w:r w:rsidRPr="00E239E6">
        <w:rPr>
          <w:rFonts w:cstheme="minorHAnsi"/>
        </w:rPr>
        <w:t xml:space="preserve"> pric</w:t>
      </w:r>
      <w:r>
        <w:rPr>
          <w:rFonts w:cstheme="minorHAnsi"/>
        </w:rPr>
        <w:t>e</w:t>
      </w:r>
      <w:r w:rsidRPr="00E239E6">
        <w:rPr>
          <w:rFonts w:cstheme="minorHAnsi"/>
        </w:rPr>
        <w:t xml:space="preserve"> setting and approval to more ‘light touch’ price monitoring and information provision.</w:t>
      </w:r>
      <w:r>
        <w:rPr>
          <w:rFonts w:cstheme="minorHAnsi"/>
        </w:rPr>
        <w:t xml:space="preserve"> </w:t>
      </w:r>
      <w:r w:rsidRPr="3DFFC190">
        <w:rPr>
          <w:lang w:val="en-US"/>
        </w:rPr>
        <w:t xml:space="preserve">However, this transition process </w:t>
      </w:r>
      <w:r>
        <w:rPr>
          <w:lang w:val="en-US"/>
        </w:rPr>
        <w:t>has not progressed, and it is not clear that price deregulation should be prioritised at this time.</w:t>
      </w:r>
      <w:r>
        <w:rPr>
          <w:lang w:val="en-US"/>
        </w:rPr>
        <w:br w:type="page"/>
      </w:r>
    </w:p>
    <w:p w14:paraId="7A270D9E" w14:textId="6F8C5577" w:rsidR="00F61E68" w:rsidRPr="00866E3A" w:rsidRDefault="00F61E68" w:rsidP="00C53CA3">
      <w:pPr>
        <w:pStyle w:val="Figure"/>
      </w:pPr>
      <w:bookmarkStart w:id="305" w:name="Fig15"/>
      <w:bookmarkEnd w:id="305"/>
      <w:r w:rsidRPr="00622029">
        <w:rPr>
          <w:rFonts w:eastAsiaTheme="majorEastAsia"/>
        </w:rPr>
        <w:lastRenderedPageBreak/>
        <w:t>NDIA’s transition steps for removing price caps … has barriers hindering progress at each step</w:t>
      </w:r>
    </w:p>
    <w:p w14:paraId="47424E40" w14:textId="77777777" w:rsidR="00F61E68" w:rsidRDefault="00A4690F" w:rsidP="00A4690F">
      <w:pPr>
        <w:jc w:val="center"/>
      </w:pPr>
      <w:r>
        <w:rPr>
          <w:noProof/>
          <w:lang w:eastAsia="en-AU"/>
        </w:rPr>
        <w:drawing>
          <wp:inline distT="0" distB="0" distL="0" distR="0" wp14:anchorId="07170036" wp14:editId="561E0A77">
            <wp:extent cx="5904735" cy="2822693"/>
            <wp:effectExtent l="0" t="0" r="1270" b="0"/>
            <wp:docPr id="5" name="Picture 5" descr="Figure 15. Description in Appendix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 15.png"/>
                    <pic:cNvPicPr/>
                  </pic:nvPicPr>
                  <pic:blipFill>
                    <a:blip r:embed="rId25">
                      <a:extLst>
                        <a:ext uri="{28A0092B-C50C-407E-A947-70E740481C1C}">
                          <a14:useLocalDpi xmlns:a14="http://schemas.microsoft.com/office/drawing/2010/main" val="0"/>
                        </a:ext>
                      </a:extLst>
                    </a:blip>
                    <a:stretch>
                      <a:fillRect/>
                    </a:stretch>
                  </pic:blipFill>
                  <pic:spPr>
                    <a:xfrm>
                      <a:off x="0" y="0"/>
                      <a:ext cx="5904735" cy="2822693"/>
                    </a:xfrm>
                    <a:prstGeom prst="rect">
                      <a:avLst/>
                    </a:prstGeom>
                  </pic:spPr>
                </pic:pic>
              </a:graphicData>
            </a:graphic>
          </wp:inline>
        </w:drawing>
      </w:r>
    </w:p>
    <w:p w14:paraId="55C0BDCC" w14:textId="618B3DE0" w:rsidR="00A4690F" w:rsidRDefault="00B67CD4" w:rsidP="00A4690F">
      <w:hyperlink w:anchor="_Figure_15_-" w:history="1">
        <w:r>
          <w:rPr>
            <w:rStyle w:val="Hyperlink"/>
            <w:rFonts w:asciiTheme="minorHAnsi" w:hAnsiTheme="minorHAnsi"/>
          </w:rPr>
          <w:t>Fi</w:t>
        </w:r>
        <w:r w:rsidR="00A4690F" w:rsidRPr="00A4690F">
          <w:rPr>
            <w:rStyle w:val="Hyperlink"/>
            <w:rFonts w:asciiTheme="minorHAnsi" w:hAnsiTheme="minorHAnsi"/>
          </w:rPr>
          <w:t>gure</w:t>
        </w:r>
        <w:r>
          <w:rPr>
            <w:rStyle w:val="Hyperlink"/>
            <w:rFonts w:asciiTheme="minorHAnsi" w:hAnsiTheme="minorHAnsi"/>
          </w:rPr>
          <w:t xml:space="preserve"> 15 text description</w:t>
        </w:r>
      </w:hyperlink>
    </w:p>
    <w:p w14:paraId="5E3E1F10" w14:textId="77777777" w:rsidR="00F61E68" w:rsidRPr="00E239E6" w:rsidRDefault="00F61E68" w:rsidP="00F61E68">
      <w:pPr>
        <w:keepNext/>
        <w:keepLines/>
        <w:rPr>
          <w:rFonts w:eastAsia="Times New Roman" w:cstheme="minorHAnsi"/>
          <w:lang w:eastAsia="en-AU"/>
        </w:rPr>
      </w:pPr>
      <w:r w:rsidRPr="00E239E6">
        <w:rPr>
          <w:rFonts w:eastAsia="Times New Roman" w:cstheme="minorHAnsi"/>
          <w:lang w:eastAsia="en-AU"/>
        </w:rPr>
        <w:t>Price monitoring</w:t>
      </w:r>
      <w:r>
        <w:rPr>
          <w:rFonts w:eastAsia="Times New Roman" w:cstheme="minorHAnsi"/>
          <w:lang w:eastAsia="en-AU"/>
        </w:rPr>
        <w:t xml:space="preserve"> and comparisons</w:t>
      </w:r>
      <w:r w:rsidRPr="00E239E6">
        <w:rPr>
          <w:rFonts w:eastAsia="Times New Roman" w:cstheme="minorHAnsi"/>
          <w:lang w:eastAsia="en-AU"/>
        </w:rPr>
        <w:t xml:space="preserve"> in the NDIA is limited due to incomplete information</w:t>
      </w:r>
      <w:r>
        <w:rPr>
          <w:rFonts w:eastAsia="Times New Roman" w:cstheme="minorHAnsi"/>
          <w:lang w:eastAsia="en-AU"/>
        </w:rPr>
        <w:t xml:space="preserve"> and systems (outlined in </w:t>
      </w:r>
      <w:r w:rsidRPr="00B6417B">
        <w:rPr>
          <w:rFonts w:eastAsia="Times New Roman" w:cstheme="minorHAnsi"/>
          <w:i/>
          <w:lang w:eastAsia="en-AU"/>
        </w:rPr>
        <w:t>Section 1</w:t>
      </w:r>
      <w:r>
        <w:rPr>
          <w:rFonts w:eastAsia="Times New Roman" w:cstheme="minorHAnsi"/>
          <w:lang w:eastAsia="en-AU"/>
        </w:rPr>
        <w:t>)</w:t>
      </w:r>
      <w:r w:rsidRPr="00E239E6">
        <w:rPr>
          <w:rFonts w:eastAsia="Times New Roman" w:cstheme="minorHAnsi"/>
          <w:lang w:eastAsia="en-AU"/>
        </w:rPr>
        <w:t xml:space="preserve">. </w:t>
      </w:r>
    </w:p>
    <w:p w14:paraId="103A8E7E" w14:textId="77777777" w:rsidR="00F61E68" w:rsidRPr="00E239E6" w:rsidRDefault="00F61E68" w:rsidP="00F61E68">
      <w:pPr>
        <w:rPr>
          <w:rFonts w:eastAsia="Times New Roman"/>
          <w:lang w:eastAsia="en-AU"/>
        </w:rPr>
      </w:pPr>
      <w:r w:rsidRPr="3DFFC190">
        <w:rPr>
          <w:rFonts w:eastAsia="Times New Roman"/>
          <w:lang w:eastAsia="en-AU"/>
        </w:rPr>
        <w:t xml:space="preserve">The NDIA’s </w:t>
      </w:r>
      <w:r>
        <w:rPr>
          <w:rFonts w:eastAsia="Times New Roman"/>
          <w:lang w:eastAsia="en-AU"/>
        </w:rPr>
        <w:t>Pricing Arrangement and P</w:t>
      </w:r>
      <w:r w:rsidRPr="3DFFC190">
        <w:rPr>
          <w:rFonts w:eastAsia="Times New Roman"/>
          <w:lang w:eastAsia="en-AU"/>
        </w:rPr>
        <w:t xml:space="preserve">rice </w:t>
      </w:r>
      <w:r>
        <w:rPr>
          <w:rFonts w:eastAsia="Times New Roman"/>
          <w:lang w:eastAsia="en-AU"/>
        </w:rPr>
        <w:t>L</w:t>
      </w:r>
      <w:r w:rsidRPr="3DFFC190">
        <w:rPr>
          <w:rFonts w:eastAsia="Times New Roman"/>
          <w:lang w:eastAsia="en-AU"/>
        </w:rPr>
        <w:t>imits document is the only comprehensive price list that is public</w:t>
      </w:r>
      <w:r>
        <w:rPr>
          <w:rFonts w:eastAsia="Times New Roman"/>
          <w:lang w:eastAsia="en-AU"/>
        </w:rPr>
        <w:t>ally available</w:t>
      </w:r>
      <w:r w:rsidRPr="3DFFC190">
        <w:rPr>
          <w:rFonts w:eastAsia="Times New Roman"/>
          <w:lang w:eastAsia="en-AU"/>
        </w:rPr>
        <w:t>. But it is not easy for participants to understand</w:t>
      </w:r>
      <w:r>
        <w:rPr>
          <w:rFonts w:eastAsia="Times New Roman"/>
          <w:lang w:eastAsia="en-AU"/>
        </w:rPr>
        <w:t>, and only outlines what the price caps and rules are</w:t>
      </w:r>
      <w:r w:rsidRPr="3DFFC190">
        <w:rPr>
          <w:rFonts w:eastAsia="Times New Roman"/>
          <w:lang w:eastAsia="en-AU"/>
        </w:rPr>
        <w:t xml:space="preserve">. There is no requirement for providers to publish a price list for the full set of services </w:t>
      </w:r>
      <w:r>
        <w:rPr>
          <w:rFonts w:eastAsia="Times New Roman"/>
          <w:lang w:eastAsia="en-AU"/>
        </w:rPr>
        <w:t>they offer</w:t>
      </w:r>
      <w:r w:rsidRPr="3DFFC190">
        <w:rPr>
          <w:rFonts w:eastAsia="Times New Roman"/>
          <w:lang w:eastAsia="en-AU"/>
        </w:rPr>
        <w:t xml:space="preserve"> – the only exception is providers claiming </w:t>
      </w:r>
      <w:r>
        <w:rPr>
          <w:rFonts w:eastAsia="Times New Roman"/>
          <w:lang w:eastAsia="en-AU"/>
        </w:rPr>
        <w:t>TTP</w:t>
      </w:r>
      <w:r w:rsidRPr="3DFFC190">
        <w:rPr>
          <w:rFonts w:eastAsia="Times New Roman"/>
          <w:lang w:eastAsia="en-AU"/>
        </w:rPr>
        <w:t xml:space="preserve"> for certain supports. </w:t>
      </w:r>
    </w:p>
    <w:p w14:paraId="31793DE8" w14:textId="77777777" w:rsidR="00F61E68" w:rsidRPr="00E239E6" w:rsidRDefault="00F61E68" w:rsidP="00F61E68">
      <w:pPr>
        <w:rPr>
          <w:rFonts w:eastAsia="Times New Roman" w:cstheme="minorHAnsi"/>
          <w:lang w:eastAsia="en-AU"/>
        </w:rPr>
      </w:pPr>
      <w:r w:rsidRPr="00E239E6">
        <w:rPr>
          <w:rFonts w:eastAsia="Times New Roman" w:cstheme="minorHAnsi"/>
          <w:lang w:eastAsia="en-AU"/>
        </w:rPr>
        <w:t xml:space="preserve">This contrast with other social services, where price information is more readily available to consumers and governments. For example, the aged care </w:t>
      </w:r>
      <w:r w:rsidRPr="00E239E6">
        <w:rPr>
          <w:rFonts w:eastAsia="Times New Roman" w:cstheme="minorHAnsi"/>
          <w:i/>
          <w:lang w:eastAsia="en-AU"/>
        </w:rPr>
        <w:t xml:space="preserve">Home Care Package Program </w:t>
      </w:r>
      <w:r w:rsidRPr="00E239E6">
        <w:rPr>
          <w:rFonts w:eastAsia="Times New Roman" w:cstheme="minorHAnsi"/>
          <w:lang w:val="en-US" w:eastAsia="en-AU"/>
        </w:rPr>
        <w:t xml:space="preserve">requires providers to publish a price list on the </w:t>
      </w:r>
      <w:r w:rsidRPr="00E239E6">
        <w:rPr>
          <w:rFonts w:eastAsia="Times New Roman" w:cstheme="minorHAnsi"/>
          <w:i/>
          <w:lang w:val="en-US" w:eastAsia="en-AU"/>
        </w:rPr>
        <w:t>My Aged Care</w:t>
      </w:r>
      <w:r w:rsidRPr="00E239E6">
        <w:rPr>
          <w:rFonts w:eastAsia="Times New Roman" w:cstheme="minorHAnsi"/>
          <w:lang w:val="en-US" w:eastAsia="en-AU"/>
        </w:rPr>
        <w:t xml:space="preserve"> website for the full set of services they offer.</w:t>
      </w:r>
      <w:r w:rsidRPr="00E239E6">
        <w:rPr>
          <w:rStyle w:val="EndnoteReference"/>
          <w:rFonts w:eastAsia="Times New Roman" w:cstheme="minorHAnsi"/>
          <w:lang w:val="en-US" w:eastAsia="en-AU"/>
        </w:rPr>
        <w:endnoteReference w:id="75"/>
      </w:r>
      <w:r w:rsidRPr="00E239E6">
        <w:rPr>
          <w:rFonts w:eastAsia="Times New Roman" w:cstheme="minorHAnsi"/>
          <w:lang w:eastAsia="en-AU"/>
        </w:rPr>
        <w:t xml:space="preserve"> </w:t>
      </w:r>
      <w:r>
        <w:rPr>
          <w:rFonts w:eastAsia="Times New Roman" w:cstheme="minorHAnsi"/>
          <w:lang w:eastAsia="en-AU"/>
        </w:rPr>
        <w:t>The NDIA has suggested that neither the NDIA nor NDIS Commission are able to require providers to publish their prices.</w:t>
      </w:r>
    </w:p>
    <w:p w14:paraId="1348C7B9" w14:textId="77777777" w:rsidR="00F61E68" w:rsidRDefault="00F61E68" w:rsidP="00F61E68">
      <w:pPr>
        <w:rPr>
          <w:rFonts w:cstheme="minorHAnsi"/>
        </w:rPr>
      </w:pPr>
      <w:r w:rsidRPr="00E239E6">
        <w:rPr>
          <w:rFonts w:eastAsia="Times New Roman" w:cstheme="minorHAnsi"/>
          <w:lang w:eastAsia="en-AU"/>
        </w:rPr>
        <w:lastRenderedPageBreak/>
        <w:t xml:space="preserve">More than a decade ago, in 2007, </w:t>
      </w:r>
      <w:r w:rsidRPr="00E239E6">
        <w:rPr>
          <w:rFonts w:cstheme="minorHAnsi"/>
        </w:rPr>
        <w:t>price disclosure arrangements were introduced in the Pharmaceutical Benefits Scheme (PBS).</w:t>
      </w:r>
      <w:r w:rsidRPr="00E239E6">
        <w:rPr>
          <w:rStyle w:val="EndnoteReference"/>
          <w:rFonts w:cstheme="minorHAnsi"/>
        </w:rPr>
        <w:endnoteReference w:id="76"/>
      </w:r>
      <w:r w:rsidRPr="00E239E6">
        <w:rPr>
          <w:rFonts w:cstheme="minorHAnsi"/>
        </w:rPr>
        <w:t xml:space="preserve"> Suppliers of certain medicines on the PBS were required to disclose the actual prices at which their medicines were sold – including both the</w:t>
      </w:r>
      <w:r>
        <w:rPr>
          <w:rFonts w:cstheme="minorHAnsi"/>
        </w:rPr>
        <w:t>ir</w:t>
      </w:r>
      <w:r w:rsidRPr="00E239E6">
        <w:rPr>
          <w:rFonts w:cstheme="minorHAnsi"/>
        </w:rPr>
        <w:t xml:space="preserve"> sales revenue and volume. Critically, the arrangements included a feedback loop that allowed the prices of PBS-listed medicines to be adjusted to better reflect the average actual prices paid by pharmacies.</w:t>
      </w:r>
      <w:r>
        <w:rPr>
          <w:rFonts w:cstheme="minorHAnsi"/>
        </w:rPr>
        <w:br w:type="page"/>
      </w:r>
    </w:p>
    <w:p w14:paraId="6A22C0E6" w14:textId="4335C70E" w:rsidR="00F61E68" w:rsidRPr="00B56ED6" w:rsidRDefault="00F61E68" w:rsidP="00012A6F">
      <w:pPr>
        <w:pStyle w:val="B1-Heading1"/>
        <w:outlineLvl w:val="2"/>
        <w:rPr>
          <w:color w:val="092B57" w:themeColor="text1"/>
        </w:rPr>
      </w:pPr>
      <w:r w:rsidRPr="00F325AD">
        <w:lastRenderedPageBreak/>
        <w:t>Finding 3</w:t>
      </w:r>
      <w:r w:rsidR="00F325AD">
        <w:t xml:space="preserve">: </w:t>
      </w:r>
      <w:r w:rsidRPr="00B56ED6">
        <w:t>A lack of transparency</w:t>
      </w:r>
      <w:r w:rsidR="00F325AD">
        <w:t xml:space="preserve"> around prices, volume, quality </w:t>
      </w:r>
      <w:r w:rsidRPr="00B56ED6">
        <w:t>and outcomes is restri</w:t>
      </w:r>
      <w:r w:rsidR="00F325AD">
        <w:t>cting the effectiveness of</w:t>
      </w:r>
      <w:r w:rsidR="00F325AD">
        <w:br/>
        <w:t xml:space="preserve">NDIS </w:t>
      </w:r>
      <w:r w:rsidRPr="00B56ED6">
        <w:t>service delivery</w:t>
      </w:r>
    </w:p>
    <w:p w14:paraId="524F1657" w14:textId="77777777" w:rsidR="00F61E68" w:rsidRPr="00B56ED6" w:rsidRDefault="00F61E68" w:rsidP="009D296A">
      <w:pPr>
        <w:pStyle w:val="B1-Body"/>
        <w:rPr>
          <w:lang w:eastAsia="en-AU"/>
        </w:rPr>
      </w:pPr>
      <w:r w:rsidRPr="00B56ED6">
        <w:rPr>
          <w:lang w:eastAsia="en-AU"/>
        </w:rPr>
        <w:t xml:space="preserve">Participants can find it difficult to compare providers or negotiate prices as they cannot readily access the information they need to make informed decisions. The NDIA has limited visibility of whether the supports participants purchase help to achieve outcomes. </w:t>
      </w:r>
    </w:p>
    <w:p w14:paraId="3F18D8D4" w14:textId="77777777" w:rsidR="00F61E68" w:rsidRPr="00B56ED6" w:rsidRDefault="00F61E68" w:rsidP="009D296A">
      <w:pPr>
        <w:pStyle w:val="B1-Body"/>
        <w:rPr>
          <w:lang w:eastAsia="en-AU"/>
        </w:rPr>
      </w:pPr>
      <w:r w:rsidRPr="00B56ED6">
        <w:rPr>
          <w:lang w:eastAsia="en-AU"/>
        </w:rPr>
        <w:t xml:space="preserve">Increased transparency of NDIS transactions – including on prices, volume, quality and outcomes – would support: </w:t>
      </w:r>
    </w:p>
    <w:p w14:paraId="374312F6" w14:textId="77777777" w:rsidR="00F61E68" w:rsidRPr="00B56ED6" w:rsidRDefault="00F61E68" w:rsidP="002D26D4">
      <w:pPr>
        <w:pStyle w:val="B1-Listbullets"/>
        <w:rPr>
          <w:lang w:eastAsia="en-AU"/>
        </w:rPr>
      </w:pPr>
      <w:r w:rsidRPr="00B56ED6">
        <w:rPr>
          <w:lang w:eastAsia="en-AU"/>
        </w:rPr>
        <w:t>participants to become more informed and empowered consumers</w:t>
      </w:r>
    </w:p>
    <w:p w14:paraId="233B27F5" w14:textId="77777777" w:rsidR="00F61E68" w:rsidRPr="00B56ED6" w:rsidRDefault="00F61E68" w:rsidP="002D26D4">
      <w:pPr>
        <w:pStyle w:val="B1-Listbullets"/>
        <w:rPr>
          <w:lang w:eastAsia="en-AU"/>
        </w:rPr>
      </w:pPr>
      <w:r w:rsidRPr="00B56ED6">
        <w:rPr>
          <w:lang w:eastAsia="en-AU"/>
        </w:rPr>
        <w:t>providers to compete on price and quality and deliver outcomes for participants</w:t>
      </w:r>
    </w:p>
    <w:p w14:paraId="2F78AB83" w14:textId="77777777" w:rsidR="00F61E68" w:rsidRPr="00B72306" w:rsidRDefault="00F61E68" w:rsidP="002D26D4">
      <w:pPr>
        <w:pStyle w:val="B1-Listbullets"/>
        <w:rPr>
          <w:lang w:eastAsia="en-AU"/>
        </w:rPr>
      </w:pPr>
      <w:r w:rsidRPr="00B56ED6">
        <w:rPr>
          <w:lang w:eastAsia="en-AU"/>
        </w:rPr>
        <w:t>governments, as market stewards, to better monitor pricing and market outcomes</w:t>
      </w:r>
      <w:r>
        <w:rPr>
          <w:lang w:eastAsia="en-AU"/>
        </w:rPr>
        <w:t>,</w:t>
      </w:r>
      <w:r w:rsidRPr="00B56ED6">
        <w:rPr>
          <w:lang w:eastAsia="en-AU"/>
        </w:rPr>
        <w:t xml:space="preserve"> and set prices more effectively (in line with </w:t>
      </w:r>
      <w:r w:rsidRPr="00B56ED6">
        <w:rPr>
          <w:i/>
          <w:iCs/>
          <w:lang w:eastAsia="en-AU"/>
        </w:rPr>
        <w:t>Finding 1</w:t>
      </w:r>
      <w:r w:rsidRPr="00B56ED6">
        <w:rPr>
          <w:lang w:eastAsia="en-AU"/>
        </w:rPr>
        <w:t xml:space="preserve">). </w:t>
      </w:r>
    </w:p>
    <w:p w14:paraId="43587B55" w14:textId="77777777" w:rsidR="00F61E68" w:rsidRPr="00B56ED6" w:rsidRDefault="00F61E68" w:rsidP="00012A6F">
      <w:pPr>
        <w:pStyle w:val="B1-Heading2"/>
        <w:outlineLvl w:val="3"/>
      </w:pPr>
      <w:r w:rsidRPr="00B56ED6">
        <w:t>Focus areas for further consultation</w:t>
      </w:r>
    </w:p>
    <w:p w14:paraId="3480554E" w14:textId="77777777" w:rsidR="00F61E68" w:rsidRPr="00B56ED6" w:rsidRDefault="00F61E68" w:rsidP="009D296A">
      <w:pPr>
        <w:pStyle w:val="B1-Body"/>
        <w:rPr>
          <w:b/>
          <w:bCs/>
        </w:rPr>
      </w:pPr>
      <w:r w:rsidRPr="00B56ED6">
        <w:t>Options to improve transparency in the NDIS market could include strengthening:</w:t>
      </w:r>
    </w:p>
    <w:p w14:paraId="3A555A9E" w14:textId="77777777" w:rsidR="00F61E68" w:rsidRPr="00B56ED6" w:rsidRDefault="00F61E68" w:rsidP="002D26D4">
      <w:pPr>
        <w:pStyle w:val="B1-Listbullets"/>
        <w:rPr>
          <w:lang w:eastAsia="en-AU"/>
        </w:rPr>
      </w:pPr>
      <w:r w:rsidRPr="00B56ED6">
        <w:rPr>
          <w:lang w:eastAsia="en-AU"/>
        </w:rPr>
        <w:t xml:space="preserve">Market monitoring </w:t>
      </w:r>
      <w:r>
        <w:rPr>
          <w:lang w:eastAsia="en-AU"/>
        </w:rPr>
        <w:t>through</w:t>
      </w:r>
      <w:r w:rsidRPr="00B56ED6">
        <w:rPr>
          <w:lang w:eastAsia="en-AU"/>
        </w:rPr>
        <w:t xml:space="preserve"> systematically collecting transaction data</w:t>
      </w:r>
      <w:r>
        <w:rPr>
          <w:lang w:eastAsia="en-AU"/>
        </w:rPr>
        <w:t xml:space="preserve"> </w:t>
      </w:r>
      <w:r w:rsidRPr="00B56ED6">
        <w:rPr>
          <w:lang w:eastAsia="en-AU"/>
        </w:rPr>
        <w:t>supported by near real-time payment systems.</w:t>
      </w:r>
      <w:r>
        <w:rPr>
          <w:lang w:eastAsia="en-AU"/>
        </w:rPr>
        <w:t xml:space="preserve"> This would include collecting more transaction data for</w:t>
      </w:r>
      <w:r w:rsidRPr="00B56ED6">
        <w:rPr>
          <w:lang w:eastAsia="en-AU"/>
        </w:rPr>
        <w:t xml:space="preserve"> the self-managed market</w:t>
      </w:r>
      <w:r>
        <w:rPr>
          <w:lang w:eastAsia="en-AU"/>
        </w:rPr>
        <w:t>.</w:t>
      </w:r>
    </w:p>
    <w:p w14:paraId="77822B99" w14:textId="77777777" w:rsidR="00F61E68" w:rsidRPr="00B56ED6" w:rsidRDefault="00F61E68" w:rsidP="002D26D4">
      <w:pPr>
        <w:pStyle w:val="B1-Listbullets"/>
        <w:rPr>
          <w:lang w:eastAsia="en-AU"/>
        </w:rPr>
      </w:pPr>
      <w:r w:rsidRPr="00B56ED6">
        <w:rPr>
          <w:lang w:eastAsia="en-AU"/>
        </w:rPr>
        <w:t>Requirements for providers to disclose their prices, such as through an online marketplace similar to the My Aged Care website.</w:t>
      </w:r>
    </w:p>
    <w:p w14:paraId="57CF825E" w14:textId="77777777" w:rsidR="00F61E68" w:rsidRPr="00B56ED6" w:rsidRDefault="00F61E68" w:rsidP="002D26D4">
      <w:pPr>
        <w:pStyle w:val="B1-Listbullets"/>
        <w:rPr>
          <w:lang w:eastAsia="en-AU"/>
        </w:rPr>
      </w:pPr>
      <w:r w:rsidRPr="00B56ED6">
        <w:rPr>
          <w:lang w:eastAsia="en-AU"/>
        </w:rPr>
        <w:t>Measuring and reporting on provider performance – that is, the extent to which they provide quality supports that achieve outcomes for participants. This should be reported in an accessible format for participants, such as a star rating system</w:t>
      </w:r>
      <w:r>
        <w:rPr>
          <w:lang w:eastAsia="en-AU"/>
        </w:rPr>
        <w:t>,</w:t>
      </w:r>
      <w:r w:rsidRPr="00B56ED6">
        <w:rPr>
          <w:lang w:eastAsia="en-AU"/>
        </w:rPr>
        <w:t xml:space="preserve"> which are used across several social services. </w:t>
      </w:r>
    </w:p>
    <w:p w14:paraId="4EC93EAB" w14:textId="77777777" w:rsidR="00F61E68" w:rsidRPr="00866E3A" w:rsidRDefault="00F61E68" w:rsidP="009D296A">
      <w:pPr>
        <w:pStyle w:val="B1-Body"/>
        <w:rPr>
          <w:b/>
          <w:i/>
        </w:rPr>
      </w:pPr>
      <w:r w:rsidRPr="00866E3A">
        <w:rPr>
          <w:b/>
          <w:i/>
        </w:rPr>
        <w:t xml:space="preserve">We want to hear from you about the above and other options to improve </w:t>
      </w:r>
      <w:r w:rsidRPr="00866E3A" w:rsidDel="002C0338">
        <w:rPr>
          <w:b/>
          <w:i/>
        </w:rPr>
        <w:t>transparency</w:t>
      </w:r>
      <w:r w:rsidRPr="00866E3A">
        <w:rPr>
          <w:b/>
          <w:i/>
        </w:rPr>
        <w:t xml:space="preserve"> in the NDIS market, including how these options could be implemented without adding to administrative and compliance burden.</w:t>
      </w:r>
    </w:p>
    <w:p w14:paraId="1975FCE4" w14:textId="77777777" w:rsidR="00F61E68" w:rsidRPr="00E239E6" w:rsidRDefault="00F61E68" w:rsidP="00012A6F">
      <w:pPr>
        <w:pStyle w:val="Style3"/>
        <w:outlineLvl w:val="2"/>
      </w:pPr>
      <w:bookmarkStart w:id="306" w:name="_Toc129879043"/>
      <w:bookmarkStart w:id="307" w:name="_Toc129965656"/>
      <w:bookmarkStart w:id="308" w:name="_Toc129966521"/>
      <w:bookmarkStart w:id="309" w:name="_Toc130805378"/>
      <w:bookmarkStart w:id="310" w:name="_Toc130812199"/>
      <w:bookmarkStart w:id="311" w:name="_Toc130829315"/>
      <w:bookmarkStart w:id="312" w:name="_Toc130918877"/>
      <w:bookmarkStart w:id="313" w:name="_Toc130922075"/>
      <w:bookmarkStart w:id="314" w:name="_Toc130987679"/>
      <w:bookmarkStart w:id="315" w:name="_Toc130991794"/>
      <w:bookmarkStart w:id="316" w:name="_Toc130994342"/>
      <w:bookmarkStart w:id="317" w:name="_Toc131059866"/>
      <w:bookmarkStart w:id="318" w:name="_Toc131168285"/>
      <w:bookmarkStart w:id="319" w:name="_Toc131170997"/>
      <w:bookmarkStart w:id="320" w:name="_Toc131181846"/>
      <w:bookmarkStart w:id="321" w:name="_Toc131352088"/>
      <w:bookmarkStart w:id="322" w:name="_Toc131414751"/>
      <w:bookmarkStart w:id="323" w:name="_Toc131502169"/>
      <w:r w:rsidRPr="00E239E6">
        <w:lastRenderedPageBreak/>
        <w:t xml:space="preserve">Past reviews have suggested progressing towards a ‘light </w:t>
      </w:r>
      <w:r>
        <w:t>touch</w:t>
      </w:r>
      <w:r w:rsidRPr="00E239E6">
        <w:t>’ price monitoring approach with greater transparency</w:t>
      </w:r>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r w:rsidRPr="00E239E6">
        <w:t xml:space="preserve"> …</w:t>
      </w:r>
    </w:p>
    <w:p w14:paraId="5E737757" w14:textId="77777777" w:rsidR="00F61E68" w:rsidRPr="00E239E6" w:rsidRDefault="00F61E68" w:rsidP="00F61E68">
      <w:pPr>
        <w:keepNext/>
        <w:keepLines/>
        <w:rPr>
          <w:rFonts w:cstheme="minorHAnsi"/>
        </w:rPr>
      </w:pPr>
      <w:r w:rsidRPr="00E239E6">
        <w:rPr>
          <w:rFonts w:cstheme="minorHAnsi"/>
        </w:rPr>
        <w:t>Removing price caps would help to address unintended supply gaps and allow providers to compete on quality as well as price (</w:t>
      </w:r>
      <w:r w:rsidRPr="00D2603C">
        <w:rPr>
          <w:rFonts w:cstheme="minorHAnsi"/>
          <w:i/>
        </w:rPr>
        <w:t>Section 3</w:t>
      </w:r>
      <w:r w:rsidRPr="00E239E6">
        <w:rPr>
          <w:rFonts w:cstheme="minorHAnsi"/>
        </w:rPr>
        <w:t xml:space="preserve">). </w:t>
      </w:r>
    </w:p>
    <w:p w14:paraId="0EB62D82" w14:textId="77777777" w:rsidR="00F61E68" w:rsidRDefault="00F61E68" w:rsidP="00F61E68">
      <w:pPr>
        <w:pStyle w:val="Quote"/>
        <w:rPr>
          <w:rFonts w:cstheme="minorHAnsi"/>
          <w:lang w:val="en-US"/>
        </w:rPr>
      </w:pPr>
      <w:r>
        <w:rPr>
          <w:rFonts w:cstheme="minorHAnsi"/>
          <w:lang w:val="en-US"/>
        </w:rPr>
        <w:t>‘</w:t>
      </w:r>
      <w:r w:rsidRPr="00E239E6">
        <w:rPr>
          <w:rFonts w:cstheme="minorHAnsi"/>
          <w:lang w:val="en-US"/>
        </w:rPr>
        <w:t>Setting inappropriate price caps can affect access to supports and the sustainability of support provision, create uncertainty that can deter investment, and impede the develo</w:t>
      </w:r>
      <w:r>
        <w:rPr>
          <w:rFonts w:cstheme="minorHAnsi"/>
          <w:lang w:val="en-US"/>
        </w:rPr>
        <w:t>pment of new forms of supports.’</w:t>
      </w:r>
    </w:p>
    <w:p w14:paraId="7DFC9317" w14:textId="77777777" w:rsidR="00F61E68" w:rsidRPr="00FE1C0B" w:rsidRDefault="00F61E68" w:rsidP="00F61E68">
      <w:pPr>
        <w:pStyle w:val="Quote"/>
        <w:rPr>
          <w:lang w:val="en-US"/>
        </w:rPr>
      </w:pPr>
      <w:r w:rsidRPr="00FE1C0B">
        <w:rPr>
          <w:lang w:val="en-US"/>
        </w:rPr>
        <w:t xml:space="preserve"> </w:t>
      </w:r>
      <w:r w:rsidRPr="00FE1C0B">
        <w:rPr>
          <w:rFonts w:eastAsia="Times New Roman"/>
          <w:lang w:val="en-US" w:eastAsia="en-AU"/>
        </w:rPr>
        <w:t xml:space="preserve">– </w:t>
      </w:r>
      <w:r w:rsidRPr="00F61E68">
        <w:t>Queensland</w:t>
      </w:r>
      <w:r w:rsidRPr="00FE1C0B">
        <w:rPr>
          <w:lang w:val="en-US"/>
        </w:rPr>
        <w:t xml:space="preserve"> Productivity Commission</w:t>
      </w:r>
      <w:r>
        <w:rPr>
          <w:rStyle w:val="EndnoteReference"/>
          <w:rFonts w:cstheme="minorHAnsi"/>
          <w:i w:val="0"/>
          <w:lang w:val="en-US"/>
        </w:rPr>
        <w:endnoteReference w:id="77"/>
      </w:r>
    </w:p>
    <w:p w14:paraId="5DA3C267" w14:textId="77777777" w:rsidR="00F61E68" w:rsidRPr="00E239E6" w:rsidRDefault="00F61E68" w:rsidP="00F61E68">
      <w:r>
        <w:t>Past reviews (</w:t>
      </w:r>
      <w:r w:rsidRPr="002E6EB6">
        <w:rPr>
          <w:i/>
        </w:rPr>
        <w:t>Figure 1</w:t>
      </w:r>
      <w:r>
        <w:rPr>
          <w:i/>
        </w:rPr>
        <w:t>7</w:t>
      </w:r>
      <w:r>
        <w:t>) have identified two</w:t>
      </w:r>
      <w:r w:rsidRPr="3DFFC190">
        <w:t xml:space="preserve"> common reforms </w:t>
      </w:r>
      <w:r>
        <w:t xml:space="preserve">of NDIS </w:t>
      </w:r>
      <w:r w:rsidRPr="3DFFC190">
        <w:t xml:space="preserve">pricing arrangements </w:t>
      </w:r>
      <w:r>
        <w:t>to progressively</w:t>
      </w:r>
      <w:r w:rsidRPr="3DFFC190">
        <w:t>:</w:t>
      </w:r>
    </w:p>
    <w:p w14:paraId="6E65DCBB" w14:textId="77777777" w:rsidR="00F61E68" w:rsidRPr="00E239E6" w:rsidRDefault="00F61E68" w:rsidP="00F61E68">
      <w:pPr>
        <w:pStyle w:val="Listbullets-Level1"/>
      </w:pPr>
      <w:r w:rsidRPr="00E239E6">
        <w:t>mov</w:t>
      </w:r>
      <w:r>
        <w:t>e</w:t>
      </w:r>
      <w:r w:rsidRPr="00E239E6">
        <w:t xml:space="preserve"> away from</w:t>
      </w:r>
      <w:r w:rsidRPr="00E239E6" w:rsidDel="003E5E70">
        <w:t xml:space="preserve"> </w:t>
      </w:r>
      <w:r w:rsidRPr="00E239E6">
        <w:t xml:space="preserve">price caps and controls </w:t>
      </w:r>
    </w:p>
    <w:p w14:paraId="54D1E0AD" w14:textId="77777777" w:rsidR="00F61E68" w:rsidRDefault="00F61E68" w:rsidP="00F61E68">
      <w:pPr>
        <w:pStyle w:val="Listbullets-Level1"/>
      </w:pPr>
      <w:r>
        <w:t xml:space="preserve">introduce a </w:t>
      </w:r>
      <w:r w:rsidRPr="3DFFC190">
        <w:t>‘light</w:t>
      </w:r>
      <w:r>
        <w:t xml:space="preserve"> touch</w:t>
      </w:r>
      <w:r w:rsidRPr="3DFFC190">
        <w:t>’ price monitoring approach</w:t>
      </w:r>
      <w:r>
        <w:t xml:space="preserve"> (</w:t>
      </w:r>
      <w:r>
        <w:rPr>
          <w:i/>
        </w:rPr>
        <w:t>Figure 16</w:t>
      </w:r>
      <w:r w:rsidRPr="00604C43">
        <w:t>)</w:t>
      </w:r>
      <w:r w:rsidRPr="3DFFC190">
        <w:t>.</w:t>
      </w:r>
    </w:p>
    <w:p w14:paraId="12A538AC" w14:textId="68A28A1D" w:rsidR="00F61E68" w:rsidRPr="00866E3A" w:rsidRDefault="00F61E68" w:rsidP="00C53CA3">
      <w:pPr>
        <w:pStyle w:val="Figure"/>
      </w:pPr>
      <w:bookmarkStart w:id="324" w:name="Fig16"/>
      <w:bookmarkEnd w:id="324"/>
      <w:r w:rsidRPr="00622029">
        <w:rPr>
          <w:rFonts w:eastAsiaTheme="majorEastAsia"/>
        </w:rPr>
        <w:t>Level of intervention by government on pricing</w:t>
      </w:r>
    </w:p>
    <w:p w14:paraId="677BE092" w14:textId="77777777" w:rsidR="00A4690F" w:rsidRPr="00F61E68" w:rsidRDefault="00A4690F" w:rsidP="00A4690F">
      <w:r w:rsidRPr="00A4690F">
        <w:rPr>
          <w:noProof/>
          <w:lang w:eastAsia="en-AU"/>
        </w:rPr>
        <w:lastRenderedPageBreak/>
        <w:drawing>
          <wp:inline distT="0" distB="0" distL="0" distR="0" wp14:anchorId="11316787" wp14:editId="53398734">
            <wp:extent cx="5927224" cy="3999165"/>
            <wp:effectExtent l="0" t="0" r="0" b="1905"/>
            <wp:docPr id="8" name="Picture 8" descr="Figure 16. Description in Appendix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5927224" cy="3999165"/>
                    </a:xfrm>
                    <a:prstGeom prst="rect">
                      <a:avLst/>
                    </a:prstGeom>
                    <a:noFill/>
                    <a:ln>
                      <a:noFill/>
                    </a:ln>
                  </pic:spPr>
                </pic:pic>
              </a:graphicData>
            </a:graphic>
          </wp:inline>
        </w:drawing>
      </w:r>
    </w:p>
    <w:p w14:paraId="743BADB3" w14:textId="7B40389A" w:rsidR="00F61E68" w:rsidRDefault="00B67CD4" w:rsidP="00B67CD4">
      <w:hyperlink w:anchor="_Figure_16_-" w:history="1">
        <w:r>
          <w:rPr>
            <w:rStyle w:val="Hyperlink"/>
            <w:rFonts w:asciiTheme="minorHAnsi" w:hAnsiTheme="minorHAnsi"/>
            <w:noProof/>
            <w:lang w:eastAsia="en-AU"/>
          </w:rPr>
          <w:t>Fi</w:t>
        </w:r>
        <w:r w:rsidR="00A4690F" w:rsidRPr="00A4690F">
          <w:rPr>
            <w:rStyle w:val="Hyperlink"/>
            <w:rFonts w:asciiTheme="minorHAnsi" w:hAnsiTheme="minorHAnsi"/>
            <w:noProof/>
            <w:lang w:eastAsia="en-AU"/>
          </w:rPr>
          <w:t xml:space="preserve">gure </w:t>
        </w:r>
        <w:r>
          <w:rPr>
            <w:rStyle w:val="Hyperlink"/>
            <w:rFonts w:asciiTheme="minorHAnsi" w:hAnsiTheme="minorHAnsi"/>
            <w:noProof/>
            <w:lang w:eastAsia="en-AU"/>
          </w:rPr>
          <w:t>16 text description</w:t>
        </w:r>
      </w:hyperlink>
      <w:r w:rsidR="00F61E68">
        <w:br w:type="page"/>
      </w:r>
    </w:p>
    <w:p w14:paraId="30839CF2" w14:textId="7146330E" w:rsidR="00F61E68" w:rsidRPr="00925CA7" w:rsidRDefault="00F61E68" w:rsidP="00C53CA3">
      <w:pPr>
        <w:pStyle w:val="Figure"/>
        <w:rPr>
          <w:rFonts w:eastAsiaTheme="majorEastAsia"/>
        </w:rPr>
      </w:pPr>
      <w:bookmarkStart w:id="325" w:name="Fig17"/>
      <w:bookmarkEnd w:id="325"/>
      <w:r w:rsidRPr="00C4599C">
        <w:rPr>
          <w:rFonts w:eastAsiaTheme="majorEastAsia"/>
        </w:rPr>
        <w:lastRenderedPageBreak/>
        <w:t>Previous work on pricing and payments in the NDIS</w:t>
      </w:r>
      <w:r w:rsidRPr="00925CA7">
        <w:rPr>
          <w:rFonts w:eastAsiaTheme="majorEastAsia"/>
        </w:rPr>
        <w:t xml:space="preserve"> </w:t>
      </w:r>
    </w:p>
    <w:p w14:paraId="4428BF90" w14:textId="77777777" w:rsidR="00F61E68" w:rsidRDefault="00F61E68" w:rsidP="00F61E68">
      <w:r w:rsidRPr="00F61E68">
        <w:rPr>
          <w:noProof/>
          <w:lang w:eastAsia="en-AU"/>
        </w:rPr>
        <w:drawing>
          <wp:inline distT="0" distB="0" distL="0" distR="0" wp14:anchorId="2B59F3D3" wp14:editId="4BB1FE69">
            <wp:extent cx="5771554" cy="7638319"/>
            <wp:effectExtent l="0" t="0" r="635" b="1270"/>
            <wp:docPr id="19" name="Picture 19" descr="Figure 17. Description in appendix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5771554" cy="7638319"/>
                    </a:xfrm>
                    <a:prstGeom prst="rect">
                      <a:avLst/>
                    </a:prstGeom>
                    <a:noFill/>
                    <a:ln>
                      <a:noFill/>
                    </a:ln>
                  </pic:spPr>
                </pic:pic>
              </a:graphicData>
            </a:graphic>
          </wp:inline>
        </w:drawing>
      </w:r>
    </w:p>
    <w:p w14:paraId="6A49D45F" w14:textId="55A7D9AB" w:rsidR="00CA4C49" w:rsidRDefault="00B67CD4" w:rsidP="00F61E68">
      <w:hyperlink w:anchor="_Figure_17_-" w:history="1">
        <w:r>
          <w:rPr>
            <w:rStyle w:val="Hyperlink"/>
            <w:rFonts w:asciiTheme="minorHAnsi" w:hAnsiTheme="minorHAnsi"/>
          </w:rPr>
          <w:t>F</w:t>
        </w:r>
        <w:r w:rsidR="00CA4C49" w:rsidRPr="00CA4C49">
          <w:rPr>
            <w:rStyle w:val="Hyperlink"/>
            <w:rFonts w:asciiTheme="minorHAnsi" w:hAnsiTheme="minorHAnsi"/>
          </w:rPr>
          <w:t>igure</w:t>
        </w:r>
        <w:r w:rsidR="00C53CA3">
          <w:rPr>
            <w:rStyle w:val="Hyperlink"/>
            <w:rFonts w:asciiTheme="minorHAnsi" w:hAnsiTheme="minorHAnsi"/>
          </w:rPr>
          <w:t xml:space="preserve"> </w:t>
        </w:r>
        <w:r w:rsidR="00CA4C49" w:rsidRPr="00CA4C49">
          <w:rPr>
            <w:rStyle w:val="Hyperlink"/>
            <w:rFonts w:asciiTheme="minorHAnsi" w:hAnsiTheme="minorHAnsi"/>
          </w:rPr>
          <w:t>1</w:t>
        </w:r>
        <w:r>
          <w:rPr>
            <w:rStyle w:val="Hyperlink"/>
            <w:rFonts w:asciiTheme="minorHAnsi" w:hAnsiTheme="minorHAnsi"/>
          </w:rPr>
          <w:t>7 text description</w:t>
        </w:r>
      </w:hyperlink>
      <w:bookmarkStart w:id="326" w:name="_GoBack"/>
      <w:bookmarkEnd w:id="326"/>
    </w:p>
    <w:p w14:paraId="2D653148" w14:textId="77777777" w:rsidR="00DC6D97" w:rsidRPr="00E239E6" w:rsidRDefault="00DC6D97" w:rsidP="00012A6F">
      <w:pPr>
        <w:pStyle w:val="Style3"/>
        <w:outlineLvl w:val="2"/>
      </w:pPr>
      <w:r>
        <w:lastRenderedPageBreak/>
        <w:t>… b</w:t>
      </w:r>
      <w:r w:rsidRPr="00E239E6">
        <w:t>ut price monitoring</w:t>
      </w:r>
      <w:r>
        <w:t>,</w:t>
      </w:r>
      <w:r w:rsidRPr="00E239E6">
        <w:t xml:space="preserve"> on its own</w:t>
      </w:r>
      <w:r>
        <w:t>,</w:t>
      </w:r>
      <w:r w:rsidRPr="00E239E6">
        <w:t xml:space="preserve"> </w:t>
      </w:r>
      <w:r>
        <w:t xml:space="preserve">may not </w:t>
      </w:r>
      <w:r w:rsidRPr="00E239E6">
        <w:t>be sufficient</w:t>
      </w:r>
    </w:p>
    <w:p w14:paraId="1E2058CC" w14:textId="77777777" w:rsidR="00DC6D97" w:rsidRPr="00E239E6" w:rsidRDefault="00DC6D97" w:rsidP="00DC6D97">
      <w:pPr>
        <w:rPr>
          <w:rFonts w:cstheme="minorHAnsi"/>
        </w:rPr>
      </w:pPr>
      <w:r w:rsidRPr="00E239E6">
        <w:rPr>
          <w:rFonts w:cstheme="minorHAnsi"/>
        </w:rPr>
        <w:t>Under current setting</w:t>
      </w:r>
      <w:r>
        <w:rPr>
          <w:rFonts w:cstheme="minorHAnsi"/>
        </w:rPr>
        <w:t>s</w:t>
      </w:r>
      <w:r w:rsidRPr="00E239E6">
        <w:rPr>
          <w:rFonts w:cstheme="minorHAnsi"/>
        </w:rPr>
        <w:t xml:space="preserve"> in the NDIS, removing price caps could place substantial pressure on scheme costs.</w:t>
      </w:r>
    </w:p>
    <w:p w14:paraId="59FB4214" w14:textId="77777777" w:rsidR="00DC6D97" w:rsidRPr="00E239E6" w:rsidRDefault="00DC6D97" w:rsidP="00DC6D97">
      <w:pPr>
        <w:rPr>
          <w:rFonts w:eastAsia="Times New Roman" w:cstheme="minorHAnsi"/>
          <w:lang w:eastAsia="en-AU"/>
        </w:rPr>
      </w:pPr>
      <w:r>
        <w:rPr>
          <w:rFonts w:eastAsia="Times New Roman" w:cstheme="minorHAnsi"/>
          <w:lang w:eastAsia="en-AU"/>
        </w:rPr>
        <w:t xml:space="preserve">As outlined in </w:t>
      </w:r>
      <w:r w:rsidRPr="0067433E">
        <w:rPr>
          <w:rFonts w:eastAsia="Times New Roman" w:cstheme="minorHAnsi"/>
          <w:i/>
          <w:lang w:eastAsia="en-AU"/>
        </w:rPr>
        <w:t>Section 1</w:t>
      </w:r>
      <w:r>
        <w:rPr>
          <w:rFonts w:eastAsia="Times New Roman" w:cstheme="minorHAnsi"/>
          <w:lang w:eastAsia="en-AU"/>
        </w:rPr>
        <w:t>, participants</w:t>
      </w:r>
      <w:r w:rsidRPr="00E239E6">
        <w:rPr>
          <w:rFonts w:eastAsia="Times New Roman" w:cstheme="minorHAnsi"/>
          <w:lang w:eastAsia="en-AU"/>
        </w:rPr>
        <w:t xml:space="preserve"> </w:t>
      </w:r>
      <w:r>
        <w:rPr>
          <w:rFonts w:eastAsia="Times New Roman" w:cstheme="minorHAnsi"/>
          <w:lang w:eastAsia="en-AU"/>
        </w:rPr>
        <w:t xml:space="preserve">are likely to be </w:t>
      </w:r>
      <w:r w:rsidRPr="00E239E6">
        <w:rPr>
          <w:rFonts w:eastAsia="Times New Roman" w:cstheme="minorHAnsi"/>
          <w:lang w:eastAsia="en-AU"/>
        </w:rPr>
        <w:t xml:space="preserve">less </w:t>
      </w:r>
      <w:r>
        <w:rPr>
          <w:rFonts w:eastAsia="Times New Roman" w:cstheme="minorHAnsi"/>
          <w:lang w:eastAsia="en-AU"/>
        </w:rPr>
        <w:t>responsive</w:t>
      </w:r>
      <w:r w:rsidRPr="00E239E6">
        <w:rPr>
          <w:rFonts w:eastAsia="Times New Roman" w:cstheme="minorHAnsi"/>
          <w:lang w:eastAsia="en-AU"/>
        </w:rPr>
        <w:t xml:space="preserve"> to prices </w:t>
      </w:r>
      <w:r>
        <w:rPr>
          <w:rFonts w:eastAsia="Times New Roman" w:cstheme="minorHAnsi"/>
          <w:lang w:eastAsia="en-AU"/>
        </w:rPr>
        <w:t>in a social market (like the NDIS) than in the private market</w:t>
      </w:r>
      <w:r w:rsidRPr="00E239E6">
        <w:rPr>
          <w:rFonts w:eastAsia="Times New Roman" w:cstheme="minorHAnsi"/>
          <w:lang w:eastAsia="en-AU"/>
        </w:rPr>
        <w:t>. Providers m</w:t>
      </w:r>
      <w:r>
        <w:rPr>
          <w:rFonts w:eastAsia="Times New Roman" w:cstheme="minorHAnsi"/>
          <w:lang w:eastAsia="en-AU"/>
        </w:rPr>
        <w:t xml:space="preserve">ay </w:t>
      </w:r>
      <w:r w:rsidRPr="00E239E6">
        <w:rPr>
          <w:rFonts w:eastAsia="Times New Roman" w:cstheme="minorHAnsi"/>
          <w:lang w:eastAsia="en-AU"/>
        </w:rPr>
        <w:t>act to increase demand for their supports, even when these do</w:t>
      </w:r>
      <w:r>
        <w:rPr>
          <w:rFonts w:eastAsia="Times New Roman" w:cstheme="minorHAnsi"/>
          <w:lang w:eastAsia="en-AU"/>
        </w:rPr>
        <w:t xml:space="preserve"> no</w:t>
      </w:r>
      <w:r w:rsidRPr="00E239E6">
        <w:rPr>
          <w:rFonts w:eastAsia="Times New Roman" w:cstheme="minorHAnsi"/>
          <w:lang w:eastAsia="en-AU"/>
        </w:rPr>
        <w:t xml:space="preserve">t represent value of money or improve outcomes. This could be particularly true when </w:t>
      </w:r>
      <w:r w:rsidRPr="00E239E6">
        <w:rPr>
          <w:rFonts w:cstheme="minorHAnsi"/>
        </w:rPr>
        <w:t>participants rely on</w:t>
      </w:r>
      <w:r>
        <w:rPr>
          <w:rFonts w:cstheme="minorHAnsi"/>
        </w:rPr>
        <w:t xml:space="preserve"> the</w:t>
      </w:r>
      <w:r w:rsidRPr="00E239E6">
        <w:rPr>
          <w:rFonts w:cstheme="minorHAnsi"/>
        </w:rPr>
        <w:t xml:space="preserve"> </w:t>
      </w:r>
      <w:r>
        <w:t>professional</w:t>
      </w:r>
      <w:r w:rsidRPr="3DFFC190">
        <w:t xml:space="preserve"> </w:t>
      </w:r>
      <w:r>
        <w:rPr>
          <w:rFonts w:cstheme="minorHAnsi"/>
        </w:rPr>
        <w:t xml:space="preserve">opinions of </w:t>
      </w:r>
      <w:r w:rsidRPr="00E239E6">
        <w:rPr>
          <w:rFonts w:cstheme="minorHAnsi"/>
        </w:rPr>
        <w:t>provider</w:t>
      </w:r>
      <w:r>
        <w:rPr>
          <w:rFonts w:cstheme="minorHAnsi"/>
        </w:rPr>
        <w:t>s</w:t>
      </w:r>
      <w:r w:rsidRPr="00E239E6">
        <w:rPr>
          <w:rFonts w:cstheme="minorHAnsi"/>
        </w:rPr>
        <w:t xml:space="preserve">. </w:t>
      </w:r>
    </w:p>
    <w:p w14:paraId="1722ED68" w14:textId="77777777" w:rsidR="00DC6D97" w:rsidRDefault="00DC6D97" w:rsidP="00DC6D97">
      <w:pPr>
        <w:pStyle w:val="Quote"/>
        <w:keepNext/>
        <w:keepLines/>
        <w:rPr>
          <w:rFonts w:cstheme="minorHAnsi"/>
        </w:rPr>
      </w:pPr>
      <w:r>
        <w:rPr>
          <w:rFonts w:cstheme="minorHAnsi"/>
        </w:rPr>
        <w:t>‘</w:t>
      </w:r>
      <w:r w:rsidRPr="00E239E6">
        <w:rPr>
          <w:rFonts w:cstheme="minorHAnsi"/>
        </w:rPr>
        <w:t xml:space="preserve">The bureaucracy of NDIS and its outrageous and free-wheeling price guide increases have allowed service providers to charge optimal rates without any obligation to adjusting their support services to the needs of their clients. </w:t>
      </w:r>
      <w:r w:rsidRPr="00DC6D97">
        <w:rPr>
          <w:rFonts w:cstheme="minorHAnsi"/>
          <w:b/>
          <w:color w:val="8F578F" w:themeColor="text2" w:themeShade="BF"/>
        </w:rPr>
        <w:t>NDIS has become a business model for service providers to take advantage of the never-ending funding from client, without having to answer for whether or not they are improving services to the benefit of the participant</w:t>
      </w:r>
      <w:r>
        <w:rPr>
          <w:rFonts w:cstheme="minorHAnsi"/>
        </w:rPr>
        <w:t>.’</w:t>
      </w:r>
    </w:p>
    <w:p w14:paraId="31FA7717" w14:textId="77777777" w:rsidR="00DC6D97" w:rsidRPr="00423AB7" w:rsidRDefault="00DC6D97" w:rsidP="00DC6D97">
      <w:pPr>
        <w:pStyle w:val="Quote"/>
      </w:pPr>
      <w:r>
        <w:rPr>
          <w:rFonts w:eastAsia="Times New Roman"/>
          <w:lang w:val="en-US" w:eastAsia="en-AU"/>
        </w:rPr>
        <w:t xml:space="preserve">– </w:t>
      </w:r>
      <w:r w:rsidRPr="00C84875">
        <w:t>Carolyn, Carer</w:t>
      </w:r>
      <w:r>
        <w:t xml:space="preserve"> of NDIS participant</w:t>
      </w:r>
      <w:r>
        <w:rPr>
          <w:rStyle w:val="EndnoteReference"/>
          <w:rFonts w:cstheme="minorHAnsi"/>
          <w:i w:val="0"/>
        </w:rPr>
        <w:endnoteReference w:id="78"/>
      </w:r>
    </w:p>
    <w:p w14:paraId="70B76BB1" w14:textId="77777777" w:rsidR="00DC6D97" w:rsidRPr="00E239E6" w:rsidRDefault="00DC6D97" w:rsidP="00DC6D97">
      <w:pPr>
        <w:rPr>
          <w:rFonts w:eastAsia="Times New Roman" w:cstheme="minorHAnsi"/>
          <w:lang w:eastAsia="en-AU"/>
        </w:rPr>
      </w:pPr>
      <w:r w:rsidRPr="00A43BF1">
        <w:rPr>
          <w:rFonts w:eastAsia="Times New Roman" w:cstheme="minorHAnsi"/>
          <w:lang w:eastAsia="en-AU"/>
        </w:rPr>
        <w:t xml:space="preserve">While </w:t>
      </w:r>
      <w:r w:rsidRPr="00A43BF1">
        <w:rPr>
          <w:rFonts w:cstheme="minorHAnsi"/>
        </w:rPr>
        <w:t>improved transparency on prices and quality is critical to improve market functioning</w:t>
      </w:r>
      <w:r>
        <w:rPr>
          <w:rFonts w:cstheme="minorHAnsi"/>
        </w:rPr>
        <w:t>, t</w:t>
      </w:r>
      <w:r w:rsidRPr="00A43BF1">
        <w:rPr>
          <w:rFonts w:cstheme="minorHAnsi"/>
        </w:rPr>
        <w:t>hese reforms will not provide the competitive pressure need</w:t>
      </w:r>
      <w:r>
        <w:rPr>
          <w:rFonts w:cstheme="minorHAnsi"/>
        </w:rPr>
        <w:t>ed</w:t>
      </w:r>
      <w:r w:rsidRPr="00A43BF1">
        <w:rPr>
          <w:rFonts w:cstheme="minorHAnsi"/>
        </w:rPr>
        <w:t xml:space="preserve"> to address the financial incentives without price caps.</w:t>
      </w:r>
    </w:p>
    <w:p w14:paraId="47AB6A4C" w14:textId="77777777" w:rsidR="00DC6D97" w:rsidRPr="00E239E6" w:rsidRDefault="00DC6D97" w:rsidP="00DC6D97">
      <w:pPr>
        <w:rPr>
          <w:rFonts w:eastAsia="Times New Roman" w:cstheme="minorHAnsi"/>
          <w:lang w:eastAsia="en-AU"/>
        </w:rPr>
      </w:pPr>
      <w:r w:rsidRPr="3DFFC190">
        <w:rPr>
          <w:rFonts w:eastAsia="Times New Roman"/>
          <w:lang w:eastAsia="en-AU"/>
        </w:rPr>
        <w:t xml:space="preserve">Where providers and participants can seek an increase to budgets, </w:t>
      </w:r>
      <w:r>
        <w:rPr>
          <w:rFonts w:eastAsia="Times New Roman"/>
          <w:lang w:eastAsia="en-AU"/>
        </w:rPr>
        <w:t>removing price caps</w:t>
      </w:r>
      <w:r w:rsidRPr="3DFFC190">
        <w:rPr>
          <w:rFonts w:eastAsia="Times New Roman"/>
          <w:lang w:eastAsia="en-AU"/>
        </w:rPr>
        <w:t xml:space="preserve"> is likely to lead to increased costs</w:t>
      </w:r>
      <w:r>
        <w:rPr>
          <w:rFonts w:eastAsia="Times New Roman"/>
          <w:lang w:eastAsia="en-AU"/>
        </w:rPr>
        <w:t>,</w:t>
      </w:r>
      <w:r w:rsidRPr="3DFFC190">
        <w:rPr>
          <w:rFonts w:eastAsia="Times New Roman"/>
          <w:lang w:eastAsia="en-AU"/>
        </w:rPr>
        <w:t xml:space="preserve"> without an associated </w:t>
      </w:r>
      <w:r>
        <w:rPr>
          <w:rFonts w:eastAsia="Times New Roman"/>
          <w:lang w:eastAsia="en-AU"/>
        </w:rPr>
        <w:t>improvement</w:t>
      </w:r>
      <w:r w:rsidRPr="3DFFC190">
        <w:rPr>
          <w:rFonts w:eastAsia="Times New Roman"/>
          <w:lang w:eastAsia="en-AU"/>
        </w:rPr>
        <w:t xml:space="preserve"> to outcomes for participants. </w:t>
      </w:r>
      <w:r w:rsidRPr="00E239E6">
        <w:rPr>
          <w:rFonts w:eastAsia="Times New Roman" w:cstheme="minorHAnsi"/>
          <w:lang w:eastAsia="en-AU"/>
        </w:rPr>
        <w:t>Without competitive pressures in the scheme, this risks a potential ratcheting effect where providers bid up the price of supports</w:t>
      </w:r>
      <w:r>
        <w:rPr>
          <w:rFonts w:eastAsia="Times New Roman" w:cstheme="minorHAnsi"/>
          <w:lang w:eastAsia="en-AU"/>
        </w:rPr>
        <w:t xml:space="preserve"> (</w:t>
      </w:r>
      <w:r w:rsidRPr="002E6EB6">
        <w:rPr>
          <w:rFonts w:eastAsia="Times New Roman" w:cstheme="minorHAnsi"/>
          <w:i/>
          <w:lang w:eastAsia="en-AU"/>
        </w:rPr>
        <w:t>Figure 18</w:t>
      </w:r>
      <w:r>
        <w:rPr>
          <w:rFonts w:eastAsia="Times New Roman" w:cstheme="minorHAnsi"/>
          <w:lang w:eastAsia="en-AU"/>
        </w:rPr>
        <w:t>)</w:t>
      </w:r>
      <w:r w:rsidRPr="00E239E6">
        <w:rPr>
          <w:rFonts w:eastAsia="Times New Roman" w:cstheme="minorHAnsi"/>
          <w:lang w:eastAsia="en-AU"/>
        </w:rPr>
        <w:t xml:space="preserve">. </w:t>
      </w:r>
    </w:p>
    <w:p w14:paraId="1619CF56" w14:textId="77777777" w:rsidR="00196773" w:rsidRDefault="00DC6D97" w:rsidP="00196773">
      <w:pPr>
        <w:rPr>
          <w:rFonts w:eastAsia="Times New Roman"/>
          <w:lang w:eastAsia="en-AU"/>
        </w:rPr>
      </w:pPr>
      <w:r w:rsidRPr="3DFFC190">
        <w:rPr>
          <w:rFonts w:eastAsia="Times New Roman"/>
          <w:lang w:eastAsia="en-AU"/>
        </w:rPr>
        <w:t>As supports become more profitable for providers, under a fee-for-service approach</w:t>
      </w:r>
      <w:r>
        <w:rPr>
          <w:rFonts w:eastAsia="Times New Roman"/>
          <w:lang w:eastAsia="en-AU"/>
        </w:rPr>
        <w:t>,</w:t>
      </w:r>
      <w:r w:rsidRPr="3DFFC190">
        <w:rPr>
          <w:rFonts w:eastAsia="Times New Roman"/>
          <w:lang w:eastAsia="en-AU"/>
        </w:rPr>
        <w:t xml:space="preserve"> price deregulation could also have a volume ratcheting effect. Providers </w:t>
      </w:r>
      <w:r w:rsidRPr="3DFFC190">
        <w:rPr>
          <w:rFonts w:eastAsia="Times New Roman"/>
          <w:lang w:eastAsia="en-AU"/>
        </w:rPr>
        <w:lastRenderedPageBreak/>
        <w:t>would face even greater f</w:t>
      </w:r>
      <w:r w:rsidRPr="3DFFC190">
        <w:t>inancial incentives to deliver more supports, regardless of outcomes or benefits to participants</w:t>
      </w:r>
      <w:r>
        <w:t>,</w:t>
      </w:r>
      <w:r w:rsidRPr="3DFFC190">
        <w:t xml:space="preserve"> than they do </w:t>
      </w:r>
      <w:r>
        <w:t>currently</w:t>
      </w:r>
      <w:r w:rsidRPr="3DFFC190">
        <w:t>.</w:t>
      </w:r>
      <w:r w:rsidRPr="3DFFC190">
        <w:rPr>
          <w:rFonts w:eastAsia="Times New Roman"/>
          <w:lang w:eastAsia="en-AU"/>
        </w:rPr>
        <w:t xml:space="preserve"> </w:t>
      </w:r>
      <w:r w:rsidR="00196773">
        <w:rPr>
          <w:rFonts w:eastAsia="Times New Roman"/>
          <w:lang w:eastAsia="en-AU"/>
        </w:rPr>
        <w:br w:type="page"/>
      </w:r>
    </w:p>
    <w:bookmarkStart w:id="327" w:name="Fig18"/>
    <w:bookmarkEnd w:id="327"/>
    <w:p w14:paraId="7733D507" w14:textId="77777777" w:rsidR="00DC6D97" w:rsidRPr="00925CA7" w:rsidRDefault="00101EB1" w:rsidP="00C53CA3">
      <w:pPr>
        <w:pStyle w:val="Figure"/>
        <w:rPr>
          <w:i/>
        </w:rPr>
      </w:pPr>
      <w:r w:rsidRPr="00925CA7">
        <w:lastRenderedPageBreak/>
        <w:fldChar w:fldCharType="begin"/>
      </w:r>
      <w:r w:rsidRPr="00925CA7">
        <w:instrText xml:space="preserve"> HYPERLINK \l "_Figure_18_-" </w:instrText>
      </w:r>
      <w:r w:rsidRPr="00925CA7">
        <w:fldChar w:fldCharType="separate"/>
      </w:r>
      <w:r w:rsidR="00DC6D97" w:rsidRPr="00925CA7">
        <w:rPr>
          <w:rStyle w:val="Hyperlink"/>
          <w:rFonts w:eastAsiaTheme="majorEastAsia"/>
          <w:u w:val="none"/>
        </w:rPr>
        <w:t>The risk of a price and volume ratchet effect</w:t>
      </w:r>
      <w:r w:rsidR="00196773" w:rsidRPr="00925CA7">
        <w:rPr>
          <w:rStyle w:val="Hyperlink"/>
          <w:u w:val="none"/>
          <w:vertAlign w:val="superscript"/>
        </w:rPr>
        <w:t xml:space="preserve"> </w:t>
      </w:r>
      <w:r w:rsidR="00196773" w:rsidRPr="00925CA7">
        <w:rPr>
          <w:rStyle w:val="Hyperlink"/>
          <w:i/>
          <w:u w:val="none"/>
          <w:vertAlign w:val="superscript"/>
        </w:rPr>
        <w:endnoteReference w:id="79"/>
      </w:r>
      <w:r w:rsidRPr="00925CA7">
        <w:rPr>
          <w:rStyle w:val="Hyperlink"/>
          <w:i/>
          <w:u w:val="none"/>
          <w:vertAlign w:val="superscript"/>
        </w:rPr>
        <w:fldChar w:fldCharType="end"/>
      </w:r>
    </w:p>
    <w:p w14:paraId="1A8075FD" w14:textId="77777777" w:rsidR="00196773" w:rsidRDefault="00196773" w:rsidP="00196773">
      <w:r w:rsidRPr="00196773">
        <w:rPr>
          <w:noProof/>
          <w:lang w:eastAsia="en-AU"/>
        </w:rPr>
        <w:drawing>
          <wp:inline distT="0" distB="0" distL="0" distR="0" wp14:anchorId="533DB506" wp14:editId="0156799B">
            <wp:extent cx="6120130" cy="3827365"/>
            <wp:effectExtent l="0" t="0" r="0" b="0"/>
            <wp:docPr id="20" name="Picture 20" descr="Figure 18. Description in Appendix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120130" cy="3827365"/>
                    </a:xfrm>
                    <a:prstGeom prst="rect">
                      <a:avLst/>
                    </a:prstGeom>
                    <a:noFill/>
                    <a:ln>
                      <a:noFill/>
                    </a:ln>
                  </pic:spPr>
                </pic:pic>
              </a:graphicData>
            </a:graphic>
          </wp:inline>
        </w:drawing>
      </w:r>
    </w:p>
    <w:p w14:paraId="4D3B3BE8" w14:textId="0119B496" w:rsidR="00860CE5" w:rsidRDefault="00B67CD4" w:rsidP="00196773">
      <w:hyperlink w:anchor="_Figure_18_-" w:history="1">
        <w:r w:rsidR="00C53CA3">
          <w:rPr>
            <w:rStyle w:val="Hyperlink"/>
            <w:rFonts w:asciiTheme="minorHAnsi" w:hAnsiTheme="minorHAnsi"/>
          </w:rPr>
          <w:t>E</w:t>
        </w:r>
        <w:r w:rsidR="00C53CA3" w:rsidRPr="00C53CA3">
          <w:rPr>
            <w:rStyle w:val="Hyperlink"/>
            <w:rFonts w:asciiTheme="minorHAnsi" w:hAnsiTheme="minorHAnsi"/>
          </w:rPr>
          <w:t>xtended text description</w:t>
        </w:r>
        <w:r w:rsidR="00860CE5" w:rsidRPr="00860CE5">
          <w:rPr>
            <w:rStyle w:val="Hyperlink"/>
            <w:rFonts w:asciiTheme="minorHAnsi" w:hAnsiTheme="minorHAnsi"/>
          </w:rPr>
          <w:t xml:space="preserve"> for figure 18</w:t>
        </w:r>
      </w:hyperlink>
    </w:p>
    <w:p w14:paraId="74761AAE" w14:textId="2FC11EAE" w:rsidR="00196773" w:rsidRPr="00D82172" w:rsidRDefault="00196773" w:rsidP="00012A6F">
      <w:pPr>
        <w:pStyle w:val="B1-Heading1"/>
        <w:outlineLvl w:val="2"/>
      </w:pPr>
      <w:r w:rsidRPr="00F325AD">
        <w:t>Finding 4</w:t>
      </w:r>
      <w:r w:rsidR="00F325AD" w:rsidRPr="00F325AD">
        <w:t>:</w:t>
      </w:r>
      <w:r w:rsidR="00F325AD">
        <w:t xml:space="preserve"> </w:t>
      </w:r>
      <w:r w:rsidRPr="00D82172">
        <w:t>Removing price caps could place pressure on scheme costs. Instead, the focus should be on foundational market reforms that help align incentives for participants, providers and governments</w:t>
      </w:r>
    </w:p>
    <w:p w14:paraId="71EA7886" w14:textId="77777777" w:rsidR="00196773" w:rsidRDefault="00196773" w:rsidP="009D296A">
      <w:pPr>
        <w:pStyle w:val="B1-Body"/>
      </w:pPr>
      <w:r w:rsidRPr="00B56ED6" w:rsidDel="00EE433E">
        <w:t xml:space="preserve">Over time, replacing price caps with more ‘light touch’ pricing arrangements as currently intended – including improving price monitoring with greater transparency on prices and quality – could encourage greater competition. </w:t>
      </w:r>
    </w:p>
    <w:p w14:paraId="4B1E9B80" w14:textId="77777777" w:rsidR="00196773" w:rsidRPr="00B56ED6" w:rsidRDefault="00196773" w:rsidP="009D296A">
      <w:pPr>
        <w:pStyle w:val="B1-Body"/>
      </w:pPr>
      <w:r w:rsidRPr="00B56ED6">
        <w:t xml:space="preserve">However, improved price monitoring and transparency alone would not be sufficient to address the lack of competition </w:t>
      </w:r>
      <w:r>
        <w:t>on</w:t>
      </w:r>
      <w:r w:rsidRPr="00B56ED6">
        <w:t xml:space="preserve"> price and quality across the NDIS market. Price deregulation risks a potential ‘ratcheting effect’ where providers could increase the price and volume of supports, adversely affecting the sustainability and affordability of the NDIS. </w:t>
      </w:r>
    </w:p>
    <w:p w14:paraId="704049D9" w14:textId="53662ACE" w:rsidR="00196773" w:rsidRDefault="00196773" w:rsidP="009D296A">
      <w:pPr>
        <w:pStyle w:val="B1-Body"/>
      </w:pPr>
      <w:r w:rsidRPr="00B56ED6">
        <w:lastRenderedPageBreak/>
        <w:t>Realising the benefits of a market-based approach for the NDIS should instead focus on foundation</w:t>
      </w:r>
      <w:r>
        <w:t>al</w:t>
      </w:r>
      <w:r w:rsidRPr="00B56ED6">
        <w:t xml:space="preserve"> market reforms. These reforms should better reflect the nature of participants, supports and providers in it</w:t>
      </w:r>
      <w:r>
        <w:t>s</w:t>
      </w:r>
      <w:r w:rsidRPr="00B56ED6">
        <w:t xml:space="preserve"> design</w:t>
      </w:r>
      <w:r>
        <w:t>. These</w:t>
      </w:r>
      <w:r w:rsidRPr="00B56ED6">
        <w:t xml:space="preserve"> could </w:t>
      </w:r>
      <w:r>
        <w:t>also consider</w:t>
      </w:r>
      <w:r w:rsidRPr="00B56ED6">
        <w:t xml:space="preserve"> whether the goal of competition is optimal or whether contestable arrangements </w:t>
      </w:r>
      <w:r>
        <w:t>would better</w:t>
      </w:r>
      <w:r w:rsidRPr="00B56ED6">
        <w:t xml:space="preserve"> deliver </w:t>
      </w:r>
      <w:r>
        <w:t>outcomes for</w:t>
      </w:r>
      <w:r w:rsidRPr="00B56ED6">
        <w:t xml:space="preserve"> the NDIS – </w:t>
      </w:r>
      <w:r>
        <w:t>achieving</w:t>
      </w:r>
      <w:r w:rsidRPr="00B56ED6">
        <w:t xml:space="preserve"> a good life for participants and a sustainable scheme.</w:t>
      </w:r>
    </w:p>
    <w:p w14:paraId="11850DC9" w14:textId="77777777" w:rsidR="00F325AD" w:rsidRPr="00B56ED6" w:rsidRDefault="00F325AD" w:rsidP="009D296A">
      <w:pPr>
        <w:pStyle w:val="B1-Body"/>
      </w:pPr>
    </w:p>
    <w:p w14:paraId="6D5E0D8E" w14:textId="77777777" w:rsidR="00196773" w:rsidRPr="00B56ED6" w:rsidRDefault="00196773" w:rsidP="00012A6F">
      <w:pPr>
        <w:pStyle w:val="B1-Heading2"/>
        <w:outlineLvl w:val="3"/>
      </w:pPr>
      <w:r w:rsidRPr="00B56ED6">
        <w:t xml:space="preserve">Focus areas for further </w:t>
      </w:r>
      <w:r w:rsidRPr="00D82172">
        <w:t>consultation</w:t>
      </w:r>
    </w:p>
    <w:p w14:paraId="4C3AE703" w14:textId="77777777" w:rsidR="00196773" w:rsidRPr="00B56ED6" w:rsidRDefault="00196773" w:rsidP="009D296A">
      <w:pPr>
        <w:pStyle w:val="B1-Body"/>
        <w:rPr>
          <w:rFonts w:ascii="Segoe UI" w:hAnsi="Segoe UI" w:cs="Segoe UI"/>
          <w:szCs w:val="24"/>
        </w:rPr>
      </w:pPr>
      <w:r w:rsidRPr="00F51A45">
        <w:rPr>
          <w:rStyle w:val="B1-BodyChar"/>
        </w:rPr>
        <w:t>Foundatio</w:t>
      </w:r>
      <w:r w:rsidRPr="00B56ED6">
        <w:rPr>
          <w:rFonts w:ascii="Segoe UI" w:hAnsi="Segoe UI" w:cs="Segoe UI"/>
          <w:szCs w:val="24"/>
        </w:rPr>
        <w:t>nal market refo</w:t>
      </w:r>
      <w:r w:rsidRPr="00F51A45">
        <w:rPr>
          <w:rStyle w:val="B1-BodyChar"/>
        </w:rPr>
        <w:t>rms to align incentives for participants, providers and governments could look</w:t>
      </w:r>
      <w:r w:rsidRPr="00B56ED6">
        <w:rPr>
          <w:rFonts w:ascii="Segoe UI" w:hAnsi="Segoe UI" w:cs="Segoe UI"/>
          <w:szCs w:val="24"/>
        </w:rPr>
        <w:t xml:space="preserve"> at ways to ensure:</w:t>
      </w:r>
    </w:p>
    <w:p w14:paraId="0ABD439F" w14:textId="77777777" w:rsidR="00196773" w:rsidRPr="00F51A45" w:rsidRDefault="00196773" w:rsidP="002D26D4">
      <w:pPr>
        <w:pStyle w:val="B1-Listbullets"/>
      </w:pPr>
      <w:r w:rsidRPr="00B56ED6">
        <w:t xml:space="preserve">participants have the information and capability to make informed choices on the value and quality of </w:t>
      </w:r>
      <w:r w:rsidRPr="00F51A45">
        <w:t xml:space="preserve">supports, including the help they need to do this </w:t>
      </w:r>
    </w:p>
    <w:p w14:paraId="19D7E2F6" w14:textId="77777777" w:rsidR="00196773" w:rsidRPr="00F51A45" w:rsidRDefault="00196773" w:rsidP="002D26D4">
      <w:pPr>
        <w:pStyle w:val="B1-Listbullets"/>
      </w:pPr>
      <w:r w:rsidRPr="00F51A45">
        <w:t>participants’ budgets support them to be active consumers in the NDIS market</w:t>
      </w:r>
    </w:p>
    <w:p w14:paraId="0A2AB3B0" w14:textId="77777777" w:rsidR="00196773" w:rsidRPr="00F51A45" w:rsidRDefault="00196773" w:rsidP="002D26D4">
      <w:pPr>
        <w:pStyle w:val="B1-Listbullets"/>
      </w:pPr>
      <w:r w:rsidRPr="00F51A45">
        <w:t xml:space="preserve">providers are incentivised to compete on price and quality, and deliver the volume and mix of supports that improve outcomes for participants </w:t>
      </w:r>
    </w:p>
    <w:p w14:paraId="233C22E2" w14:textId="77777777" w:rsidR="00196773" w:rsidRPr="00F51A45" w:rsidRDefault="00196773" w:rsidP="002D26D4">
      <w:pPr>
        <w:pStyle w:val="B1-Listbullets"/>
      </w:pPr>
      <w:r w:rsidRPr="00F51A45">
        <w:t>a range of contestable approaches are used in NDIS sub-markets when they would achieve better outcomes</w:t>
      </w:r>
    </w:p>
    <w:p w14:paraId="5512F791" w14:textId="77777777" w:rsidR="00196773" w:rsidRPr="00925CA7" w:rsidRDefault="00196773" w:rsidP="00925CA7">
      <w:pPr>
        <w:pStyle w:val="B1-Listbullets"/>
        <w:rPr>
          <w:b/>
        </w:rPr>
      </w:pPr>
      <w:r w:rsidRPr="00F51A45">
        <w:t>governments have clear roles and responsibilities with a coherent and transparent strategy for stewarding the</w:t>
      </w:r>
      <w:r w:rsidRPr="00B56ED6">
        <w:t xml:space="preserve"> NDIS market – including the approach for the o</w:t>
      </w:r>
      <w:r w:rsidR="00925CA7">
        <w:t>verall market and for different</w:t>
      </w:r>
      <w:r w:rsidR="00925CA7">
        <w:rPr>
          <w:b/>
        </w:rPr>
        <w:br/>
      </w:r>
      <w:r w:rsidRPr="00B56ED6">
        <w:t>sub-markets (such as regional and remote markets).</w:t>
      </w:r>
    </w:p>
    <w:p w14:paraId="53B049BF" w14:textId="77777777" w:rsidR="00196773" w:rsidRPr="00925CA7" w:rsidRDefault="00196773" w:rsidP="009D296A">
      <w:pPr>
        <w:pStyle w:val="B1-Body"/>
        <w:rPr>
          <w:b/>
          <w:i/>
        </w:rPr>
      </w:pPr>
      <w:r w:rsidRPr="00925CA7">
        <w:rPr>
          <w:b/>
          <w:i/>
        </w:rPr>
        <w:t>We want to hear from you about when and how these foundational reforms could</w:t>
      </w:r>
      <w:r w:rsidRPr="00925CA7">
        <w:rPr>
          <w:b/>
          <w:i/>
        </w:rPr>
        <w:br/>
        <w:t>be achieved.</w:t>
      </w:r>
    </w:p>
    <w:p w14:paraId="2D09F696" w14:textId="77777777" w:rsidR="00196773" w:rsidRPr="00925CA7" w:rsidRDefault="00196773" w:rsidP="009D296A">
      <w:pPr>
        <w:pStyle w:val="B1-Body"/>
        <w:rPr>
          <w:b/>
          <w:i/>
        </w:rPr>
      </w:pPr>
      <w:r w:rsidRPr="00925CA7">
        <w:rPr>
          <w:b/>
          <w:i/>
        </w:rPr>
        <w:t>We are also interested in other reforms to ensure we have the right overall architecture and incentives in the NDIS market.</w:t>
      </w:r>
    </w:p>
    <w:p w14:paraId="724595EE" w14:textId="77777777" w:rsidR="00196773" w:rsidRPr="00E239E6" w:rsidRDefault="00196773" w:rsidP="00196773">
      <w:pPr>
        <w:pStyle w:val="Heading2"/>
        <w:numPr>
          <w:ilvl w:val="0"/>
          <w:numId w:val="26"/>
        </w:numPr>
        <w:rPr>
          <w:rFonts w:asciiTheme="minorHAnsi" w:hAnsiTheme="minorHAnsi" w:cstheme="minorHAnsi"/>
        </w:rPr>
      </w:pPr>
      <w:bookmarkStart w:id="328" w:name="_Toc130805379"/>
      <w:bookmarkStart w:id="329" w:name="_Toc130812200"/>
      <w:bookmarkStart w:id="330" w:name="_Toc130829316"/>
      <w:bookmarkStart w:id="331" w:name="_Toc130918878"/>
      <w:bookmarkStart w:id="332" w:name="_Toc130922076"/>
      <w:bookmarkStart w:id="333" w:name="_Toc130987680"/>
      <w:bookmarkStart w:id="334" w:name="_Toc130991795"/>
      <w:bookmarkStart w:id="335" w:name="_Toc130994343"/>
      <w:bookmarkStart w:id="336" w:name="_Toc131059867"/>
      <w:bookmarkStart w:id="337" w:name="_Toc131168286"/>
      <w:bookmarkStart w:id="338" w:name="_Toc131170998"/>
      <w:bookmarkStart w:id="339" w:name="_Toc131181847"/>
      <w:bookmarkStart w:id="340" w:name="_Toc131352089"/>
      <w:bookmarkStart w:id="341" w:name="_Toc131414752"/>
      <w:bookmarkStart w:id="342" w:name="_Toc131502170"/>
      <w:bookmarkStart w:id="343" w:name="_Toc131580665"/>
      <w:bookmarkStart w:id="344" w:name="_Toc131596910"/>
      <w:bookmarkStart w:id="345" w:name="_Toc131602773"/>
      <w:bookmarkStart w:id="346" w:name="_Toc131613594"/>
      <w:bookmarkStart w:id="347" w:name="_Toc131621602"/>
      <w:bookmarkStart w:id="348" w:name="_Toc131631056"/>
      <w:bookmarkStart w:id="349" w:name="_Toc131674152"/>
      <w:bookmarkStart w:id="350" w:name="_Toc131679200"/>
      <w:bookmarkStart w:id="351" w:name="_Toc131682019"/>
      <w:bookmarkStart w:id="352" w:name="_Toc131685026"/>
      <w:bookmarkStart w:id="353" w:name="_Toc131686300"/>
      <w:bookmarkStart w:id="354" w:name="_Toc132205309"/>
      <w:bookmarkStart w:id="355" w:name="_Toc132205419"/>
      <w:bookmarkStart w:id="356" w:name="_Toc132213579"/>
      <w:bookmarkStart w:id="357" w:name="_Toc132217941"/>
      <w:bookmarkStart w:id="358" w:name="_Toc132230946"/>
      <w:bookmarkStart w:id="359" w:name="_Toc132235057"/>
      <w:bookmarkStart w:id="360" w:name="_Toc132371376"/>
      <w:bookmarkStart w:id="361" w:name="_Toc132375323"/>
      <w:bookmarkStart w:id="362" w:name="_Toc132378675"/>
      <w:bookmarkStart w:id="363" w:name="_Toc132387990"/>
      <w:bookmarkStart w:id="364" w:name="_Toc132389790"/>
      <w:bookmarkStart w:id="365" w:name="_Toc132458024"/>
      <w:bookmarkStart w:id="366" w:name="_Toc132474965"/>
      <w:bookmarkStart w:id="367" w:name="_Toc132620285"/>
      <w:bookmarkStart w:id="368" w:name="_Toc132622472"/>
      <w:bookmarkStart w:id="369" w:name="_Toc132623274"/>
      <w:bookmarkStart w:id="370" w:name="_Toc132624480"/>
      <w:bookmarkStart w:id="371" w:name="_Toc132635191"/>
      <w:bookmarkStart w:id="372" w:name="_Toc134122493"/>
      <w:bookmarkStart w:id="373" w:name="_Toc134621122"/>
      <w:bookmarkStart w:id="374" w:name="_Toc135390392"/>
      <w:r w:rsidRPr="00E239E6">
        <w:rPr>
          <w:rFonts w:asciiTheme="minorHAnsi" w:hAnsiTheme="minorHAnsi" w:cstheme="minorHAnsi"/>
        </w:rPr>
        <w:t>Next steps</w:t>
      </w:r>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p>
    <w:p w14:paraId="7295C990" w14:textId="77777777" w:rsidR="00196773" w:rsidRPr="00E239E6" w:rsidRDefault="00196773" w:rsidP="00196773">
      <w:pPr>
        <w:rPr>
          <w:rFonts w:cstheme="minorHAnsi"/>
        </w:rPr>
      </w:pPr>
      <w:r>
        <w:rPr>
          <w:rFonts w:cstheme="minorHAnsi"/>
        </w:rPr>
        <w:t>T</w:t>
      </w:r>
      <w:r w:rsidRPr="00E239E6">
        <w:rPr>
          <w:rFonts w:cstheme="minorHAnsi"/>
        </w:rPr>
        <w:t>hroughout the NDIS Review</w:t>
      </w:r>
      <w:r>
        <w:rPr>
          <w:rFonts w:cstheme="minorHAnsi"/>
        </w:rPr>
        <w:t>, we will explore t</w:t>
      </w:r>
      <w:r w:rsidRPr="00E239E6">
        <w:rPr>
          <w:rFonts w:cstheme="minorHAnsi"/>
        </w:rPr>
        <w:t xml:space="preserve">he </w:t>
      </w:r>
      <w:r>
        <w:rPr>
          <w:rFonts w:cstheme="minorHAnsi"/>
        </w:rPr>
        <w:t xml:space="preserve">overarching market approach, and the </w:t>
      </w:r>
      <w:r w:rsidRPr="00E239E6">
        <w:rPr>
          <w:rFonts w:cstheme="minorHAnsi"/>
        </w:rPr>
        <w:t xml:space="preserve">role of pricing and payments in improving outcomes for participants and scheme sustainability. </w:t>
      </w:r>
    </w:p>
    <w:p w14:paraId="77628E1F" w14:textId="77777777" w:rsidR="00196773" w:rsidRPr="00E239E6" w:rsidRDefault="00196773" w:rsidP="00196773">
      <w:pPr>
        <w:rPr>
          <w:rFonts w:cstheme="minorHAnsi"/>
          <w:lang w:val="en-US"/>
        </w:rPr>
      </w:pPr>
      <w:r w:rsidRPr="00E239E6">
        <w:rPr>
          <w:rFonts w:cstheme="minorHAnsi"/>
        </w:rPr>
        <w:lastRenderedPageBreak/>
        <w:t xml:space="preserve">This includes </w:t>
      </w:r>
      <w:r w:rsidRPr="00E239E6">
        <w:rPr>
          <w:rFonts w:cstheme="minorHAnsi"/>
          <w:lang w:val="en-US"/>
        </w:rPr>
        <w:t>considering</w:t>
      </w:r>
      <w:r>
        <w:rPr>
          <w:rFonts w:cstheme="minorHAnsi"/>
          <w:lang w:val="en-US"/>
        </w:rPr>
        <w:t xml:space="preserve"> market architecture,</w:t>
      </w:r>
      <w:r w:rsidRPr="00E239E6">
        <w:rPr>
          <w:rFonts w:cstheme="minorHAnsi"/>
          <w:lang w:val="en-US"/>
        </w:rPr>
        <w:t xml:space="preserve"> pricing and payment approaches and transition paths. Equally, </w:t>
      </w:r>
      <w:r>
        <w:rPr>
          <w:rFonts w:cstheme="minorHAnsi"/>
          <w:lang w:val="en-US"/>
        </w:rPr>
        <w:t>we are</w:t>
      </w:r>
      <w:r w:rsidRPr="00E239E6">
        <w:rPr>
          <w:rFonts w:cstheme="minorHAnsi"/>
          <w:lang w:val="en-US"/>
        </w:rPr>
        <w:t xml:space="preserve"> looking at how and when market access, coordination and alternative commissioning can be better used to achieve a </w:t>
      </w:r>
      <w:r w:rsidRPr="00E239E6">
        <w:rPr>
          <w:rFonts w:cstheme="minorHAnsi"/>
        </w:rPr>
        <w:t>responsive and well-functioning NDIS market.</w:t>
      </w:r>
      <w:r w:rsidRPr="00E239E6">
        <w:rPr>
          <w:rFonts w:cstheme="minorHAnsi"/>
          <w:lang w:val="en-US"/>
        </w:rPr>
        <w:t xml:space="preserve"> </w:t>
      </w:r>
    </w:p>
    <w:p w14:paraId="1AF3425C" w14:textId="77777777" w:rsidR="001B0F0B" w:rsidRDefault="00196773" w:rsidP="00196773">
      <w:pPr>
        <w:rPr>
          <w:rFonts w:cstheme="minorHAnsi"/>
        </w:rPr>
      </w:pPr>
      <w:r w:rsidRPr="00A365B6">
        <w:t xml:space="preserve">Over the months ahead, </w:t>
      </w:r>
      <w:r>
        <w:t>we</w:t>
      </w:r>
      <w:r w:rsidRPr="00A365B6">
        <w:t xml:space="preserve"> will consult participants, providers, workers,</w:t>
      </w:r>
      <w:r>
        <w:t xml:space="preserve"> unions,</w:t>
      </w:r>
      <w:r w:rsidRPr="00A365B6">
        <w:t xml:space="preserve"> disability representative and carer organisations</w:t>
      </w:r>
      <w:r>
        <w:t>, disability service providers</w:t>
      </w:r>
      <w:r w:rsidRPr="00A365B6">
        <w:t xml:space="preserve"> and other disability sector stakeholders</w:t>
      </w:r>
      <w:r>
        <w:t>.</w:t>
      </w:r>
      <w:r w:rsidRPr="00A365B6">
        <w:t xml:space="preserve"> </w:t>
      </w:r>
      <w:r>
        <w:t xml:space="preserve">Among other things, we will consult on </w:t>
      </w:r>
      <w:r w:rsidRPr="00A365B6">
        <w:t xml:space="preserve">the focus areas identified in this paper. This will help </w:t>
      </w:r>
      <w:r>
        <w:t>us</w:t>
      </w:r>
      <w:r w:rsidRPr="00A365B6">
        <w:t xml:space="preserve"> better understand these focus areas</w:t>
      </w:r>
      <w:r>
        <w:t>,</w:t>
      </w:r>
      <w:r w:rsidRPr="00A365B6">
        <w:t xml:space="preserve"> and how pricing and payment approaches may improve participant outcomes and scheme sustainability.</w:t>
      </w:r>
    </w:p>
    <w:p w14:paraId="01458A15" w14:textId="77777777" w:rsidR="001B0F0B" w:rsidRDefault="001B0F0B">
      <w:pPr>
        <w:spacing w:after="200" w:line="288" w:lineRule="auto"/>
        <w:rPr>
          <w:rFonts w:cstheme="minorHAnsi"/>
        </w:rPr>
      </w:pPr>
      <w:r>
        <w:rPr>
          <w:rFonts w:cstheme="minorHAnsi"/>
        </w:rPr>
        <w:br w:type="page"/>
      </w:r>
    </w:p>
    <w:p w14:paraId="63CF061E" w14:textId="77777777" w:rsidR="00196773" w:rsidRDefault="001B0F0B" w:rsidP="001B0F0B">
      <w:pPr>
        <w:pStyle w:val="Heading2"/>
      </w:pPr>
      <w:bookmarkStart w:id="375" w:name="_Toc135390393"/>
      <w:r>
        <w:lastRenderedPageBreak/>
        <w:t>Appendix 1 – Alternative text</w:t>
      </w:r>
      <w:bookmarkEnd w:id="375"/>
    </w:p>
    <w:p w14:paraId="182A9979" w14:textId="77777777" w:rsidR="001B0F0B" w:rsidRDefault="001B0F0B" w:rsidP="001B0F0B">
      <w:pPr>
        <w:pStyle w:val="Heading3"/>
        <w:rPr>
          <w:sz w:val="24"/>
          <w:szCs w:val="24"/>
        </w:rPr>
      </w:pPr>
      <w:bookmarkStart w:id="376" w:name="_Figure_3_-"/>
      <w:bookmarkEnd w:id="376"/>
      <w:r w:rsidRPr="001B0F0B">
        <w:rPr>
          <w:sz w:val="24"/>
          <w:szCs w:val="24"/>
        </w:rPr>
        <w:t>Figure 3 - At the end of 2022, around 30% of participants self-manage all or part of their plans. This increases to 40% for early childhood supports, where parents and carers self-manage on their child's behalf.</w:t>
      </w:r>
    </w:p>
    <w:p w14:paraId="354E7D77" w14:textId="77777777" w:rsidR="001B0F0B" w:rsidRPr="001B0F0B" w:rsidRDefault="001B0F0B" w:rsidP="001B0F0B">
      <w:r>
        <w:rPr>
          <w:rFonts w:ascii="Segoe UI" w:hAnsi="Segoe UI" w:cs="Segoe UI"/>
        </w:rPr>
        <w:t>G</w:t>
      </w:r>
      <w:r w:rsidRPr="00093D0E">
        <w:rPr>
          <w:rFonts w:ascii="Segoe UI" w:hAnsi="Segoe UI" w:cs="Segoe UI"/>
        </w:rPr>
        <w:t xml:space="preserve">raph showing the proportion of participants </w:t>
      </w:r>
      <w:r>
        <w:rPr>
          <w:rFonts w:ascii="Segoe UI" w:hAnsi="Segoe UI" w:cs="Segoe UI"/>
        </w:rPr>
        <w:t>by</w:t>
      </w:r>
      <w:r w:rsidRPr="00093D0E">
        <w:rPr>
          <w:rFonts w:ascii="Segoe UI" w:hAnsi="Segoe UI" w:cs="Segoe UI"/>
        </w:rPr>
        <w:t xml:space="preserve"> plan management </w:t>
      </w:r>
      <w:r>
        <w:rPr>
          <w:rFonts w:ascii="Segoe UI" w:hAnsi="Segoe UI" w:cs="Segoe UI"/>
        </w:rPr>
        <w:t xml:space="preserve">status and </w:t>
      </w:r>
      <w:r w:rsidRPr="00093D0E">
        <w:rPr>
          <w:rFonts w:ascii="Segoe UI" w:hAnsi="Segoe UI" w:cs="Segoe UI"/>
        </w:rPr>
        <w:t>by age group</w:t>
      </w:r>
      <w:r>
        <w:rPr>
          <w:rFonts w:ascii="Segoe UI" w:hAnsi="Segoe UI" w:cs="Segoe UI"/>
        </w:rPr>
        <w:t xml:space="preserve"> at the end of 2022</w:t>
      </w:r>
    </w:p>
    <w:p w14:paraId="1F301526" w14:textId="77777777" w:rsidR="001B0F0B" w:rsidRPr="004C0B49" w:rsidRDefault="001B0F0B" w:rsidP="001B0F0B">
      <w:pPr>
        <w:pStyle w:val="Listbullets-Level1"/>
        <w:rPr>
          <w:szCs w:val="24"/>
        </w:rPr>
      </w:pPr>
      <w:r w:rsidRPr="004C0B49">
        <w:rPr>
          <w:szCs w:val="24"/>
        </w:rPr>
        <w:t>For participants aged 0 to 6 years, 34% are fully self-managed, 6% are partly self-managed, 53% are plan-managed and 7% are agency managed.</w:t>
      </w:r>
    </w:p>
    <w:p w14:paraId="12A82142" w14:textId="77777777" w:rsidR="001B0F0B" w:rsidRPr="004C0B49" w:rsidRDefault="001B0F0B" w:rsidP="001B0F0B">
      <w:pPr>
        <w:pStyle w:val="Listbullets-Level1"/>
        <w:rPr>
          <w:szCs w:val="24"/>
        </w:rPr>
      </w:pPr>
      <w:r w:rsidRPr="004C0B49">
        <w:rPr>
          <w:szCs w:val="24"/>
        </w:rPr>
        <w:t>For participants aged 7 to 14 years, 36% are fully self-managed, 9% are partly self-managed, 45% are plan-managed and 10% are agency managed.</w:t>
      </w:r>
    </w:p>
    <w:p w14:paraId="57109B45" w14:textId="77777777" w:rsidR="001B0F0B" w:rsidRPr="004C0B49" w:rsidRDefault="001B0F0B" w:rsidP="001B0F0B">
      <w:pPr>
        <w:pStyle w:val="Listbullets-Level1"/>
        <w:rPr>
          <w:szCs w:val="24"/>
        </w:rPr>
      </w:pPr>
      <w:r w:rsidRPr="004C0B49">
        <w:rPr>
          <w:szCs w:val="24"/>
        </w:rPr>
        <w:t>For participants aged 15 to 18 years, 28% are fully self-managed, 8% are partly self-managed, 54% are plan-managed and 9% are agency managed.</w:t>
      </w:r>
    </w:p>
    <w:p w14:paraId="33218C0B" w14:textId="77777777" w:rsidR="001B0F0B" w:rsidRPr="004C0B49" w:rsidRDefault="001B0F0B" w:rsidP="001B0F0B">
      <w:pPr>
        <w:pStyle w:val="Listbullets-Level1"/>
        <w:rPr>
          <w:szCs w:val="24"/>
        </w:rPr>
      </w:pPr>
      <w:r w:rsidRPr="004C0B49">
        <w:rPr>
          <w:szCs w:val="24"/>
        </w:rPr>
        <w:t>For participants aged 19 to 24 years, 17% are fully self-managed, 8% are partly self-managed, 61% are plan-managed and 14% are agency managed.</w:t>
      </w:r>
    </w:p>
    <w:p w14:paraId="29066401" w14:textId="77777777" w:rsidR="001B0F0B" w:rsidRPr="004C0B49" w:rsidRDefault="001B0F0B" w:rsidP="001B0F0B">
      <w:pPr>
        <w:pStyle w:val="Listbullets-Level1"/>
        <w:rPr>
          <w:szCs w:val="24"/>
        </w:rPr>
      </w:pPr>
      <w:r w:rsidRPr="004C0B49">
        <w:rPr>
          <w:szCs w:val="24"/>
        </w:rPr>
        <w:t>For participants aged 25 to 34 years, 11% are fully self-managed, 6% are partly self-managed, 65% are plan-managed and 17% are agency managed.</w:t>
      </w:r>
    </w:p>
    <w:p w14:paraId="75374451" w14:textId="77777777" w:rsidR="001B0F0B" w:rsidRPr="004C0B49" w:rsidRDefault="001B0F0B" w:rsidP="001B0F0B">
      <w:pPr>
        <w:pStyle w:val="Listbullets-Level1"/>
        <w:rPr>
          <w:szCs w:val="24"/>
        </w:rPr>
      </w:pPr>
      <w:r w:rsidRPr="004C0B49">
        <w:rPr>
          <w:szCs w:val="24"/>
        </w:rPr>
        <w:t>For participants aged 35 to 44 years, 10% are fully self-managed, 6% are partly self-managed, 68% are plan-managed and 16% are agency managed.</w:t>
      </w:r>
    </w:p>
    <w:p w14:paraId="6444BBFA" w14:textId="77777777" w:rsidR="001B0F0B" w:rsidRPr="004C0B49" w:rsidRDefault="001B0F0B" w:rsidP="001B0F0B">
      <w:pPr>
        <w:pStyle w:val="Listbullets-Level1"/>
        <w:rPr>
          <w:szCs w:val="24"/>
        </w:rPr>
      </w:pPr>
      <w:r w:rsidRPr="004C0B49">
        <w:rPr>
          <w:szCs w:val="24"/>
        </w:rPr>
        <w:t>For participants aged 45 to 54 years, 9% are fully self-managed, 5% are partly self-managed, 70% are plan-managed and 16% are agency managed.</w:t>
      </w:r>
    </w:p>
    <w:p w14:paraId="3BEC5D08" w14:textId="77777777" w:rsidR="001B0F0B" w:rsidRPr="004C0B49" w:rsidRDefault="001B0F0B" w:rsidP="001B0F0B">
      <w:pPr>
        <w:pStyle w:val="Listbullets-Level1"/>
        <w:rPr>
          <w:szCs w:val="24"/>
        </w:rPr>
      </w:pPr>
      <w:r w:rsidRPr="004C0B49">
        <w:rPr>
          <w:szCs w:val="24"/>
        </w:rPr>
        <w:t>For participants aged 55 to 64 years, 9% are fully self-managed, 5% are partly self-managed, 71% are plan-managed and 15% are agency managed.</w:t>
      </w:r>
    </w:p>
    <w:p w14:paraId="75B9D55E" w14:textId="77777777" w:rsidR="001B0F0B" w:rsidRPr="004C0B49" w:rsidRDefault="001B0F0B" w:rsidP="001B0F0B">
      <w:pPr>
        <w:pStyle w:val="Listbullets-Level1"/>
        <w:rPr>
          <w:szCs w:val="24"/>
        </w:rPr>
      </w:pPr>
      <w:r w:rsidRPr="004C0B49">
        <w:rPr>
          <w:szCs w:val="24"/>
        </w:rPr>
        <w:t>For participants aged 65 years and over, 10% are fully self-managed, 7% are partly self-managed, 67% are plan-managed and 17% are agency managed.</w:t>
      </w:r>
    </w:p>
    <w:p w14:paraId="753B72B4" w14:textId="77777777" w:rsidR="001B0F0B" w:rsidRPr="004C0B49" w:rsidRDefault="001B0F0B" w:rsidP="001B0F0B">
      <w:pPr>
        <w:pStyle w:val="Listbullets-Level1"/>
        <w:rPr>
          <w:szCs w:val="24"/>
        </w:rPr>
      </w:pPr>
      <w:r w:rsidRPr="004C0B49">
        <w:rPr>
          <w:szCs w:val="24"/>
        </w:rPr>
        <w:t>Across all age groups, 23% are fully self-managed, 7% are partly self-managed, 58% are plan-managed and 12% are agency managed.</w:t>
      </w:r>
    </w:p>
    <w:p w14:paraId="04AC5177" w14:textId="77777777" w:rsidR="001B0F0B" w:rsidRDefault="00B67CD4" w:rsidP="00196773">
      <w:pPr>
        <w:rPr>
          <w:rFonts w:cstheme="minorHAnsi"/>
        </w:rPr>
      </w:pPr>
      <w:hyperlink w:anchor="Fig3" w:history="1">
        <w:r w:rsidR="001B0F0B" w:rsidRPr="00CB1BCB">
          <w:rPr>
            <w:rStyle w:val="Hyperlink"/>
            <w:rFonts w:asciiTheme="minorHAnsi" w:hAnsiTheme="minorHAnsi" w:cstheme="minorHAnsi"/>
          </w:rPr>
          <w:t>Return to Figure 3</w:t>
        </w:r>
      </w:hyperlink>
    </w:p>
    <w:p w14:paraId="61BDEF43" w14:textId="77777777" w:rsidR="00D25923" w:rsidRDefault="00D25923" w:rsidP="00D25923">
      <w:pPr>
        <w:pStyle w:val="Heading3"/>
        <w:rPr>
          <w:sz w:val="24"/>
          <w:szCs w:val="24"/>
        </w:rPr>
      </w:pPr>
      <w:bookmarkStart w:id="377" w:name="_Figure_6_-"/>
      <w:bookmarkEnd w:id="377"/>
      <w:r w:rsidRPr="00D25923">
        <w:rPr>
          <w:sz w:val="24"/>
          <w:szCs w:val="24"/>
        </w:rPr>
        <w:lastRenderedPageBreak/>
        <w:t>Figure 6 - An overview of the range of market tools government can use to ensure the effective delivery of supports and, ultimately, outcomes for participants</w:t>
      </w:r>
    </w:p>
    <w:p w14:paraId="4E90BD8C" w14:textId="77777777" w:rsidR="00D25923" w:rsidRPr="00D25923" w:rsidRDefault="00092094" w:rsidP="00D25923">
      <w:r w:rsidRPr="00093D0E">
        <w:rPr>
          <w:rFonts w:ascii="Segoe UI" w:hAnsi="Segoe UI" w:cs="Segoe UI"/>
        </w:rPr>
        <w:t>Infographic showing three categories of market tools that governments</w:t>
      </w:r>
      <w:r>
        <w:rPr>
          <w:rFonts w:ascii="Segoe UI" w:hAnsi="Segoe UI" w:cs="Segoe UI"/>
        </w:rPr>
        <w:t xml:space="preserve">, </w:t>
      </w:r>
      <w:r w:rsidRPr="00093D0E">
        <w:rPr>
          <w:rFonts w:ascii="Segoe UI" w:hAnsi="Segoe UI" w:cs="Segoe UI"/>
        </w:rPr>
        <w:t>as market stewards</w:t>
      </w:r>
      <w:r>
        <w:rPr>
          <w:rFonts w:ascii="Segoe UI" w:hAnsi="Segoe UI" w:cs="Segoe UI"/>
        </w:rPr>
        <w:t>, can use</w:t>
      </w:r>
      <w:r w:rsidRPr="00093D0E">
        <w:rPr>
          <w:rFonts w:ascii="Segoe UI" w:hAnsi="Segoe UI" w:cs="Segoe UI"/>
        </w:rPr>
        <w:t xml:space="preserve"> to better ensure </w:t>
      </w:r>
      <w:r w:rsidRPr="00093D0E">
        <w:rPr>
          <w:rFonts w:ascii="Segoe UI" w:hAnsi="Segoe UI" w:cs="Segoe UI"/>
          <w:bCs/>
        </w:rPr>
        <w:t>effective delivery of supports and outcomes for participants</w:t>
      </w:r>
    </w:p>
    <w:p w14:paraId="21C48664" w14:textId="77777777" w:rsidR="00092094" w:rsidRPr="004C0B49" w:rsidRDefault="00092094" w:rsidP="00092094">
      <w:pPr>
        <w:pStyle w:val="Listnumbers-Level1"/>
        <w:rPr>
          <w:sz w:val="24"/>
          <w:szCs w:val="24"/>
        </w:rPr>
      </w:pPr>
      <w:r w:rsidRPr="004C0B49">
        <w:rPr>
          <w:sz w:val="24"/>
          <w:szCs w:val="24"/>
        </w:rPr>
        <w:t>Market coordination which can include: market facilitation; market intermediaries; and market deepening.</w:t>
      </w:r>
    </w:p>
    <w:p w14:paraId="0B647EB3" w14:textId="77777777" w:rsidR="00092094" w:rsidRPr="004C0B49" w:rsidRDefault="00092094" w:rsidP="00092094">
      <w:pPr>
        <w:pStyle w:val="Listnumbers-Level1"/>
        <w:rPr>
          <w:sz w:val="24"/>
          <w:szCs w:val="24"/>
        </w:rPr>
      </w:pPr>
      <w:r w:rsidRPr="004C0B49">
        <w:rPr>
          <w:sz w:val="24"/>
          <w:szCs w:val="24"/>
        </w:rPr>
        <w:t>Market settings which can include: market access settings, and pricing and payment approaches.</w:t>
      </w:r>
    </w:p>
    <w:p w14:paraId="295D60BC" w14:textId="77777777" w:rsidR="00D25923" w:rsidRPr="004C0B49" w:rsidRDefault="00092094" w:rsidP="00092094">
      <w:pPr>
        <w:pStyle w:val="Listnumbers-Level1"/>
        <w:rPr>
          <w:rFonts w:cstheme="minorHAnsi"/>
          <w:sz w:val="24"/>
          <w:szCs w:val="24"/>
        </w:rPr>
      </w:pPr>
      <w:r w:rsidRPr="004C0B49">
        <w:rPr>
          <w:sz w:val="24"/>
          <w:szCs w:val="24"/>
        </w:rPr>
        <w:t>Alternative commissioning, which can include: direct, community and integrated commissioning; and provider of last resort arrangements.</w:t>
      </w:r>
    </w:p>
    <w:p w14:paraId="7E54DF9D" w14:textId="77777777" w:rsidR="00092094" w:rsidRPr="00092094" w:rsidRDefault="00B67CD4" w:rsidP="00092094">
      <w:pPr>
        <w:rPr>
          <w:rFonts w:cstheme="minorHAnsi"/>
        </w:rPr>
      </w:pPr>
      <w:hyperlink w:anchor="Fig6" w:history="1">
        <w:r w:rsidR="00CB1BCB" w:rsidRPr="00CB1BCB">
          <w:rPr>
            <w:rStyle w:val="Hyperlink"/>
            <w:rFonts w:asciiTheme="minorHAnsi" w:hAnsiTheme="minorHAnsi"/>
          </w:rPr>
          <w:t>Return to F</w:t>
        </w:r>
        <w:r w:rsidR="00092094" w:rsidRPr="00CB1BCB">
          <w:rPr>
            <w:rStyle w:val="Hyperlink"/>
            <w:rFonts w:asciiTheme="minorHAnsi" w:hAnsiTheme="minorHAnsi"/>
          </w:rPr>
          <w:t>igure 6</w:t>
        </w:r>
      </w:hyperlink>
    </w:p>
    <w:p w14:paraId="191389A4" w14:textId="77777777" w:rsidR="00092094" w:rsidRPr="00092094" w:rsidRDefault="00092094" w:rsidP="00092094">
      <w:pPr>
        <w:pStyle w:val="Heading3"/>
        <w:rPr>
          <w:sz w:val="24"/>
          <w:szCs w:val="24"/>
        </w:rPr>
      </w:pPr>
      <w:bookmarkStart w:id="378" w:name="_Figure_7_-"/>
      <w:bookmarkEnd w:id="378"/>
      <w:r w:rsidRPr="00092094">
        <w:rPr>
          <w:sz w:val="24"/>
          <w:szCs w:val="24"/>
        </w:rPr>
        <w:t xml:space="preserve">Figure 7 </w:t>
      </w:r>
      <w:r>
        <w:rPr>
          <w:sz w:val="24"/>
          <w:szCs w:val="24"/>
        </w:rPr>
        <w:t xml:space="preserve">- </w:t>
      </w:r>
      <w:r w:rsidRPr="00092094">
        <w:rPr>
          <w:sz w:val="24"/>
          <w:szCs w:val="24"/>
        </w:rPr>
        <w:t>Market stewards can use a mix of market-based tools to achieve the following</w:t>
      </w:r>
      <w:r>
        <w:rPr>
          <w:sz w:val="24"/>
          <w:szCs w:val="24"/>
        </w:rPr>
        <w:t xml:space="preserve"> objectives for the NDIS market</w:t>
      </w:r>
    </w:p>
    <w:p w14:paraId="1D9418F2" w14:textId="77777777" w:rsidR="00092094" w:rsidRDefault="00092094" w:rsidP="00092094">
      <w:pPr>
        <w:rPr>
          <w:rFonts w:ascii="Segoe UI" w:hAnsi="Segoe UI" w:cs="Segoe UI"/>
        </w:rPr>
      </w:pPr>
      <w:r w:rsidRPr="00093D0E">
        <w:rPr>
          <w:rFonts w:ascii="Segoe UI" w:hAnsi="Segoe UI" w:cs="Segoe UI"/>
        </w:rPr>
        <w:t xml:space="preserve">Infographic showing three objectives </w:t>
      </w:r>
      <w:r>
        <w:rPr>
          <w:rFonts w:ascii="Segoe UI" w:hAnsi="Segoe UI" w:cs="Segoe UI"/>
        </w:rPr>
        <w:t xml:space="preserve">for </w:t>
      </w:r>
      <w:r w:rsidRPr="00093D0E">
        <w:rPr>
          <w:rFonts w:ascii="Segoe UI" w:hAnsi="Segoe UI" w:cs="Segoe UI"/>
        </w:rPr>
        <w:t>the NDIS market, and the market</w:t>
      </w:r>
      <w:r>
        <w:rPr>
          <w:rFonts w:ascii="Segoe UI" w:hAnsi="Segoe UI" w:cs="Segoe UI"/>
        </w:rPr>
        <w:t>-</w:t>
      </w:r>
      <w:r w:rsidRPr="00093D0E">
        <w:rPr>
          <w:rFonts w:ascii="Segoe UI" w:hAnsi="Segoe UI" w:cs="Segoe UI"/>
        </w:rPr>
        <w:t>based tools that can be used to achieve them</w:t>
      </w:r>
      <w:r>
        <w:rPr>
          <w:rFonts w:ascii="Segoe UI" w:hAnsi="Segoe UI" w:cs="Segoe UI"/>
        </w:rPr>
        <w:t>.</w:t>
      </w:r>
    </w:p>
    <w:p w14:paraId="558DB083" w14:textId="77777777" w:rsidR="00092094" w:rsidRPr="004C0B49" w:rsidRDefault="00092094" w:rsidP="00092094">
      <w:pPr>
        <w:pStyle w:val="Listnumbers-Level1"/>
        <w:numPr>
          <w:ilvl w:val="0"/>
          <w:numId w:val="34"/>
        </w:numPr>
        <w:rPr>
          <w:sz w:val="24"/>
          <w:szCs w:val="24"/>
        </w:rPr>
      </w:pPr>
      <w:r w:rsidRPr="004C0B49">
        <w:rPr>
          <w:sz w:val="24"/>
          <w:szCs w:val="24"/>
        </w:rPr>
        <w:t>Access to supports and continuity of supply. This objective is impacted by market access settings, alternative commissioning and provider of last resort settings.</w:t>
      </w:r>
    </w:p>
    <w:p w14:paraId="37B97F10" w14:textId="77777777" w:rsidR="00092094" w:rsidRPr="004C0B49" w:rsidRDefault="00092094" w:rsidP="00092094">
      <w:pPr>
        <w:pStyle w:val="Listnumbers-Level1"/>
        <w:rPr>
          <w:sz w:val="24"/>
          <w:szCs w:val="24"/>
        </w:rPr>
      </w:pPr>
      <w:r w:rsidRPr="004C0B49">
        <w:rPr>
          <w:sz w:val="24"/>
          <w:szCs w:val="24"/>
        </w:rPr>
        <w:t>Participants have informed choice and providers are responsive to participants’ needs. This objective is impacted by: market coordination (including market facilitation and market deepening tools); as well as pricing and payment approaches.</w:t>
      </w:r>
    </w:p>
    <w:p w14:paraId="624C4ABF" w14:textId="77777777" w:rsidR="00092094" w:rsidRPr="004C0B49" w:rsidRDefault="00092094" w:rsidP="00092094">
      <w:pPr>
        <w:pStyle w:val="Listnumbers-Level1"/>
        <w:rPr>
          <w:sz w:val="24"/>
          <w:szCs w:val="24"/>
        </w:rPr>
      </w:pPr>
      <w:r w:rsidRPr="004C0B49">
        <w:rPr>
          <w:sz w:val="24"/>
          <w:szCs w:val="24"/>
        </w:rPr>
        <w:t>Providers and intermediaries innovate and invest in the capability of participants. This objective is impacted by pricing and payment approaches; and market coordination (including market facilitation and the role of market Intermediaries).</w:t>
      </w:r>
    </w:p>
    <w:p w14:paraId="23DC7B99" w14:textId="77777777" w:rsidR="00092094" w:rsidRDefault="00B67CD4" w:rsidP="00092094">
      <w:hyperlink w:anchor="Fig7" w:history="1">
        <w:r w:rsidR="00CB1BCB">
          <w:rPr>
            <w:rStyle w:val="Hyperlink"/>
            <w:rFonts w:asciiTheme="minorHAnsi" w:hAnsiTheme="minorHAnsi"/>
          </w:rPr>
          <w:t>Return to F</w:t>
        </w:r>
        <w:r w:rsidR="00092094" w:rsidRPr="00CB1BCB">
          <w:rPr>
            <w:rStyle w:val="Hyperlink"/>
            <w:rFonts w:asciiTheme="minorHAnsi" w:hAnsiTheme="minorHAnsi"/>
          </w:rPr>
          <w:t>igure 7</w:t>
        </w:r>
      </w:hyperlink>
    </w:p>
    <w:p w14:paraId="5C7E59DF" w14:textId="77777777" w:rsidR="004C0B49" w:rsidRDefault="004C0B49" w:rsidP="004C0B49">
      <w:pPr>
        <w:pStyle w:val="Heading3"/>
        <w:rPr>
          <w:sz w:val="24"/>
          <w:szCs w:val="24"/>
        </w:rPr>
      </w:pPr>
      <w:bookmarkStart w:id="379" w:name="_Figure_11_A"/>
      <w:bookmarkStart w:id="380" w:name="_Figure_14_-"/>
      <w:bookmarkStart w:id="381" w:name="_Figure_15_-"/>
      <w:bookmarkEnd w:id="379"/>
      <w:bookmarkEnd w:id="380"/>
      <w:bookmarkEnd w:id="381"/>
      <w:r w:rsidRPr="004C0B49">
        <w:rPr>
          <w:sz w:val="24"/>
          <w:szCs w:val="24"/>
        </w:rPr>
        <w:t>Figure 15 - NDIA’s transition steps for removing price caps … has barriers hindering progress at each step</w:t>
      </w:r>
    </w:p>
    <w:p w14:paraId="764AB02D" w14:textId="77777777" w:rsidR="004C0B49" w:rsidRDefault="004C0B49" w:rsidP="004C0B49">
      <w:r w:rsidRPr="00093D0E">
        <w:t xml:space="preserve">Infographic </w:t>
      </w:r>
      <w:r>
        <w:t>outlining</w:t>
      </w:r>
      <w:r w:rsidRPr="00093D0E">
        <w:t xml:space="preserve"> NDIA’s </w:t>
      </w:r>
      <w:r>
        <w:t xml:space="preserve">four </w:t>
      </w:r>
      <w:r w:rsidRPr="00093D0E">
        <w:t>transition steps for removing price caps, and the barriers hindering progress for each step of this transition</w:t>
      </w:r>
      <w:r>
        <w:t>.</w:t>
      </w:r>
    </w:p>
    <w:p w14:paraId="2A55AB54" w14:textId="77777777" w:rsidR="004C0B49" w:rsidRPr="004C0B49" w:rsidRDefault="004C0B49" w:rsidP="004C0B49">
      <w:r w:rsidRPr="000B4E1F">
        <w:t>Step 1:</w:t>
      </w:r>
      <w:r w:rsidRPr="004C0B49">
        <w:t xml:space="preserve"> Expand supply and satisfy short term demand during the transition to full scheme. Step 1 barrier: Difficulty in setting the ‘efficient’ price caps. </w:t>
      </w:r>
    </w:p>
    <w:p w14:paraId="339A8E75" w14:textId="77777777" w:rsidR="004C0B49" w:rsidRPr="004C0B49" w:rsidRDefault="004C0B49" w:rsidP="004C0B49">
      <w:r w:rsidRPr="000B4E1F">
        <w:t>Step 2:</w:t>
      </w:r>
      <w:r w:rsidRPr="004C0B49">
        <w:t xml:space="preserve"> Invest in the information infrastructure needed to support the operation of the market. Step 2 barrier: No infrastructure in place to provide sufficient visibility of all transactions.</w:t>
      </w:r>
    </w:p>
    <w:p w14:paraId="4B57E948" w14:textId="77777777" w:rsidR="004C0B49" w:rsidRPr="004C0B49" w:rsidRDefault="004C0B49" w:rsidP="004C0B49">
      <w:r w:rsidRPr="000B4E1F">
        <w:t>Step 3:</w:t>
      </w:r>
      <w:r w:rsidRPr="004C0B49">
        <w:t xml:space="preserve"> Monitor markets closely for sign of shortages and other market failures. Step 3 barrier: No transparent process for market monitoring, creating uncertainty is a barrier to this.</w:t>
      </w:r>
    </w:p>
    <w:p w14:paraId="069D53A4" w14:textId="77777777" w:rsidR="004C0B49" w:rsidRDefault="004C0B49" w:rsidP="004C0B49">
      <w:r w:rsidRPr="000B4E1F">
        <w:t>Step 4:</w:t>
      </w:r>
      <w:r w:rsidRPr="004C0B49">
        <w:t xml:space="preserve"> Deregulate as appropriate, including removing price caps when they are no longer binding. Step 4 barrier: Price caps are an anchor point is a barrier to this.</w:t>
      </w:r>
    </w:p>
    <w:p w14:paraId="5C9E5DF1" w14:textId="77777777" w:rsidR="004C0B49" w:rsidRDefault="00B67CD4" w:rsidP="004C0B49">
      <w:hyperlink w:anchor="Fig15" w:history="1">
        <w:r w:rsidR="00CB1BCB">
          <w:rPr>
            <w:rStyle w:val="Hyperlink"/>
            <w:rFonts w:asciiTheme="minorHAnsi" w:hAnsiTheme="minorHAnsi"/>
          </w:rPr>
          <w:t>Return to F</w:t>
        </w:r>
        <w:r w:rsidR="004C0B49" w:rsidRPr="00CB1BCB">
          <w:rPr>
            <w:rStyle w:val="Hyperlink"/>
            <w:rFonts w:asciiTheme="minorHAnsi" w:hAnsiTheme="minorHAnsi"/>
          </w:rPr>
          <w:t>igure 15</w:t>
        </w:r>
      </w:hyperlink>
    </w:p>
    <w:p w14:paraId="4286DC90" w14:textId="77777777" w:rsidR="004C0B49" w:rsidRDefault="004C0B49" w:rsidP="004C0B49">
      <w:pPr>
        <w:pStyle w:val="Heading3"/>
        <w:rPr>
          <w:sz w:val="24"/>
          <w:szCs w:val="24"/>
        </w:rPr>
      </w:pPr>
      <w:bookmarkStart w:id="382" w:name="_Figure_16_-"/>
      <w:bookmarkEnd w:id="382"/>
      <w:r w:rsidRPr="004C0B49">
        <w:rPr>
          <w:sz w:val="24"/>
          <w:szCs w:val="24"/>
        </w:rPr>
        <w:t>Figure 16 - Level of intervention by government on pricing</w:t>
      </w:r>
    </w:p>
    <w:p w14:paraId="4AC85D60" w14:textId="77777777" w:rsidR="004C0B49" w:rsidRDefault="004C0B49" w:rsidP="004C0B49">
      <w:pPr>
        <w:rPr>
          <w:rFonts w:ascii="Segoe UI" w:hAnsi="Segoe UI" w:cs="Segoe UI"/>
        </w:rPr>
      </w:pPr>
      <w:r w:rsidRPr="00093D0E">
        <w:rPr>
          <w:rFonts w:ascii="Segoe UI" w:hAnsi="Segoe UI" w:cs="Segoe UI"/>
        </w:rPr>
        <w:t xml:space="preserve">Infographic </w:t>
      </w:r>
      <w:r>
        <w:rPr>
          <w:rFonts w:ascii="Segoe UI" w:hAnsi="Segoe UI" w:cs="Segoe UI"/>
        </w:rPr>
        <w:t>outlining</w:t>
      </w:r>
      <w:r w:rsidRPr="00093D0E">
        <w:rPr>
          <w:rFonts w:ascii="Segoe UI" w:hAnsi="Segoe UI" w:cs="Segoe UI"/>
        </w:rPr>
        <w:t xml:space="preserve"> different </w:t>
      </w:r>
      <w:r>
        <w:rPr>
          <w:rFonts w:ascii="Segoe UI" w:hAnsi="Segoe UI" w:cs="Segoe UI"/>
        </w:rPr>
        <w:t xml:space="preserve">decreasing </w:t>
      </w:r>
      <w:r w:rsidRPr="00093D0E">
        <w:rPr>
          <w:rFonts w:ascii="Segoe UI" w:hAnsi="Segoe UI" w:cs="Segoe UI"/>
        </w:rPr>
        <w:t>levels of intervention by government on pricing</w:t>
      </w:r>
      <w:r>
        <w:rPr>
          <w:rFonts w:ascii="Segoe UI" w:hAnsi="Segoe UI" w:cs="Segoe UI"/>
        </w:rPr>
        <w:t>.</w:t>
      </w:r>
    </w:p>
    <w:p w14:paraId="03B2F648" w14:textId="77777777" w:rsidR="004C0B49" w:rsidRPr="004C0B49" w:rsidRDefault="004C0B49" w:rsidP="004C0B49">
      <w:pPr>
        <w:rPr>
          <w:szCs w:val="24"/>
        </w:rPr>
      </w:pPr>
      <w:r>
        <w:t>M</w:t>
      </w:r>
      <w:r w:rsidRPr="00093D0E">
        <w:t xml:space="preserve">ost </w:t>
      </w:r>
      <w:r w:rsidRPr="004C0B49">
        <w:rPr>
          <w:szCs w:val="24"/>
        </w:rPr>
        <w:t>intervention – involves price setting and price approval:</w:t>
      </w:r>
    </w:p>
    <w:p w14:paraId="039EE9CC" w14:textId="77777777" w:rsidR="004C0B49" w:rsidRPr="004C0B49" w:rsidRDefault="004C0B49" w:rsidP="004C0B49">
      <w:pPr>
        <w:pStyle w:val="Listbullets-Level1"/>
        <w:rPr>
          <w:szCs w:val="24"/>
        </w:rPr>
      </w:pPr>
      <w:r w:rsidRPr="004C0B49">
        <w:rPr>
          <w:szCs w:val="24"/>
        </w:rPr>
        <w:t>Price setting:</w:t>
      </w:r>
    </w:p>
    <w:p w14:paraId="027BEF16" w14:textId="77777777" w:rsidR="004C0B49" w:rsidRPr="004C0B49" w:rsidRDefault="004C0B49" w:rsidP="004C0B49">
      <w:pPr>
        <w:pStyle w:val="Listbullets-Level2"/>
        <w:rPr>
          <w:szCs w:val="24"/>
        </w:rPr>
      </w:pPr>
      <w:r w:rsidRPr="004C0B49">
        <w:rPr>
          <w:szCs w:val="24"/>
        </w:rPr>
        <w:t>Steward set prices</w:t>
      </w:r>
    </w:p>
    <w:p w14:paraId="678FC667" w14:textId="77777777" w:rsidR="004C0B49" w:rsidRPr="004C0B49" w:rsidRDefault="004C0B49" w:rsidP="004C0B49">
      <w:pPr>
        <w:pStyle w:val="Listbullets-Level2"/>
        <w:rPr>
          <w:szCs w:val="24"/>
        </w:rPr>
      </w:pPr>
      <w:r w:rsidRPr="004C0B49">
        <w:rPr>
          <w:szCs w:val="24"/>
        </w:rPr>
        <w:t>May include setting limits on prices or the allowed rate of return/revenue</w:t>
      </w:r>
    </w:p>
    <w:p w14:paraId="11BB4C18" w14:textId="77777777" w:rsidR="004C0B49" w:rsidRPr="004C0B49" w:rsidRDefault="004C0B49" w:rsidP="004C0B49">
      <w:pPr>
        <w:pStyle w:val="Listbullets-Level2"/>
        <w:rPr>
          <w:szCs w:val="24"/>
        </w:rPr>
      </w:pPr>
      <w:r w:rsidRPr="004C0B49">
        <w:rPr>
          <w:szCs w:val="24"/>
        </w:rPr>
        <w:t>May also include setting prices relative to the observed market rate.</w:t>
      </w:r>
    </w:p>
    <w:p w14:paraId="5962E3B3" w14:textId="77777777" w:rsidR="004C0B49" w:rsidRPr="004C0B49" w:rsidRDefault="004C0B49" w:rsidP="004C0B49">
      <w:pPr>
        <w:pStyle w:val="Listbullets-Level1"/>
        <w:rPr>
          <w:szCs w:val="24"/>
        </w:rPr>
      </w:pPr>
      <w:r w:rsidRPr="004C0B49">
        <w:rPr>
          <w:szCs w:val="24"/>
        </w:rPr>
        <w:t>Price approval:</w:t>
      </w:r>
    </w:p>
    <w:p w14:paraId="41C61F98" w14:textId="77777777" w:rsidR="004C0B49" w:rsidRPr="004C0B49" w:rsidRDefault="004C0B49" w:rsidP="004C0B49">
      <w:pPr>
        <w:pStyle w:val="Listbullets-Level2"/>
        <w:rPr>
          <w:szCs w:val="24"/>
        </w:rPr>
      </w:pPr>
      <w:r w:rsidRPr="004C0B49">
        <w:rPr>
          <w:szCs w:val="24"/>
        </w:rPr>
        <w:lastRenderedPageBreak/>
        <w:t>Providers are required to submit their prices to the regulator for approval.</w:t>
      </w:r>
    </w:p>
    <w:p w14:paraId="68B6F4B1" w14:textId="77777777" w:rsidR="004C0B49" w:rsidRPr="004C0B49" w:rsidRDefault="004C0B49" w:rsidP="004C0B49">
      <w:pPr>
        <w:pStyle w:val="Listbullets-Level2"/>
        <w:rPr>
          <w:szCs w:val="24"/>
        </w:rPr>
      </w:pPr>
      <w:r w:rsidRPr="004C0B49">
        <w:rPr>
          <w:szCs w:val="24"/>
        </w:rPr>
        <w:t>Similar to current quotation system for AT</w:t>
      </w:r>
    </w:p>
    <w:p w14:paraId="4DD60869" w14:textId="77777777" w:rsidR="004C0B49" w:rsidRPr="004C0B49" w:rsidRDefault="004C0B49" w:rsidP="004C0B49">
      <w:pPr>
        <w:pStyle w:val="Listbullets-Level2"/>
        <w:rPr>
          <w:szCs w:val="24"/>
        </w:rPr>
      </w:pPr>
      <w:r w:rsidRPr="004C0B49">
        <w:rPr>
          <w:szCs w:val="24"/>
        </w:rPr>
        <w:t>High compliance costs.</w:t>
      </w:r>
    </w:p>
    <w:p w14:paraId="270D8361" w14:textId="77777777" w:rsidR="004C0B49" w:rsidRPr="004C0B49" w:rsidRDefault="004C0B49" w:rsidP="004C0B49">
      <w:pPr>
        <w:rPr>
          <w:szCs w:val="24"/>
        </w:rPr>
      </w:pPr>
      <w:r w:rsidRPr="004C0B49">
        <w:rPr>
          <w:szCs w:val="24"/>
        </w:rPr>
        <w:t>Less intervention – price monitoring:</w:t>
      </w:r>
    </w:p>
    <w:p w14:paraId="4C75F4E8" w14:textId="77777777" w:rsidR="004C0B49" w:rsidRPr="004C0B49" w:rsidRDefault="004C0B49" w:rsidP="004C0B49">
      <w:pPr>
        <w:pStyle w:val="Listbullets-Level1"/>
        <w:rPr>
          <w:szCs w:val="24"/>
        </w:rPr>
      </w:pPr>
      <w:r w:rsidRPr="004C0B49">
        <w:rPr>
          <w:szCs w:val="24"/>
        </w:rPr>
        <w:t>Steward monitors and reports on actual market transaction prices</w:t>
      </w:r>
    </w:p>
    <w:p w14:paraId="64414BDC" w14:textId="77777777" w:rsidR="004C0B49" w:rsidRPr="004C0B49" w:rsidRDefault="004C0B49" w:rsidP="004C0B49">
      <w:pPr>
        <w:pStyle w:val="Listbullets-Level1"/>
        <w:rPr>
          <w:szCs w:val="24"/>
        </w:rPr>
      </w:pPr>
      <w:r w:rsidRPr="004C0B49">
        <w:rPr>
          <w:szCs w:val="24"/>
        </w:rPr>
        <w:t>Stewards can ‘force’ provider’s price information.</w:t>
      </w:r>
    </w:p>
    <w:p w14:paraId="3808201F" w14:textId="77777777" w:rsidR="004C0B49" w:rsidRPr="004C0B49" w:rsidRDefault="004C0B49" w:rsidP="004C0B49">
      <w:pPr>
        <w:rPr>
          <w:szCs w:val="24"/>
        </w:rPr>
      </w:pPr>
      <w:r w:rsidRPr="004C0B49">
        <w:rPr>
          <w:szCs w:val="24"/>
        </w:rPr>
        <w:t>Least intervention – price information:</w:t>
      </w:r>
    </w:p>
    <w:p w14:paraId="2AC52000" w14:textId="77777777" w:rsidR="004C0B49" w:rsidRPr="004C0B49" w:rsidRDefault="004C0B49" w:rsidP="004C0B49">
      <w:pPr>
        <w:pStyle w:val="Listbullets-Level1"/>
        <w:rPr>
          <w:szCs w:val="24"/>
        </w:rPr>
      </w:pPr>
      <w:r w:rsidRPr="004C0B49">
        <w:rPr>
          <w:szCs w:val="24"/>
        </w:rPr>
        <w:t>Participants provided with price information to help with decision-making</w:t>
      </w:r>
    </w:p>
    <w:p w14:paraId="67697890" w14:textId="77777777" w:rsidR="004C0B49" w:rsidRDefault="004C0B49" w:rsidP="004C0B49">
      <w:pPr>
        <w:pStyle w:val="Listbullets-Level1"/>
        <w:rPr>
          <w:szCs w:val="24"/>
        </w:rPr>
      </w:pPr>
      <w:r w:rsidRPr="004C0B49">
        <w:rPr>
          <w:szCs w:val="24"/>
        </w:rPr>
        <w:t>Some discipline on provider pricing behaviour.</w:t>
      </w:r>
    </w:p>
    <w:p w14:paraId="544320FA" w14:textId="77777777" w:rsidR="004C0B49" w:rsidRDefault="00B67CD4" w:rsidP="004C0B49">
      <w:hyperlink w:anchor="Fig16" w:history="1">
        <w:r w:rsidR="00CB1BCB">
          <w:rPr>
            <w:rStyle w:val="Hyperlink"/>
            <w:rFonts w:asciiTheme="minorHAnsi" w:hAnsiTheme="minorHAnsi"/>
          </w:rPr>
          <w:t>Return to F</w:t>
        </w:r>
        <w:r w:rsidR="004C0B49" w:rsidRPr="00CB1BCB">
          <w:rPr>
            <w:rStyle w:val="Hyperlink"/>
            <w:rFonts w:asciiTheme="minorHAnsi" w:hAnsiTheme="minorHAnsi"/>
          </w:rPr>
          <w:t>igure 16</w:t>
        </w:r>
      </w:hyperlink>
    </w:p>
    <w:p w14:paraId="2E54E98B" w14:textId="77777777" w:rsidR="004C0B49" w:rsidRDefault="004C0B49" w:rsidP="004C0B49">
      <w:pPr>
        <w:pStyle w:val="Heading3"/>
        <w:rPr>
          <w:sz w:val="24"/>
          <w:szCs w:val="24"/>
        </w:rPr>
      </w:pPr>
      <w:bookmarkStart w:id="383" w:name="_Figure_17_-"/>
      <w:bookmarkEnd w:id="383"/>
      <w:r>
        <w:rPr>
          <w:sz w:val="24"/>
          <w:szCs w:val="24"/>
        </w:rPr>
        <w:t xml:space="preserve">Figure 17 - </w:t>
      </w:r>
      <w:r w:rsidRPr="004C0B49">
        <w:rPr>
          <w:sz w:val="24"/>
          <w:szCs w:val="24"/>
        </w:rPr>
        <w:t>Previous work on pricing and payments in the NDIS</w:t>
      </w:r>
    </w:p>
    <w:p w14:paraId="0A90415B" w14:textId="77777777" w:rsidR="004C0B49" w:rsidRDefault="004C0B49" w:rsidP="004C0B49">
      <w:pPr>
        <w:rPr>
          <w:rFonts w:ascii="Segoe UI" w:hAnsi="Segoe UI" w:cs="Segoe UI"/>
        </w:rPr>
      </w:pPr>
      <w:r>
        <w:rPr>
          <w:rFonts w:ascii="Segoe UI" w:hAnsi="Segoe UI" w:cs="Segoe UI"/>
        </w:rPr>
        <w:t xml:space="preserve">Three boxes outlining previous </w:t>
      </w:r>
      <w:r w:rsidRPr="00093D0E">
        <w:rPr>
          <w:rFonts w:ascii="Segoe UI" w:hAnsi="Segoe UI" w:cs="Segoe UI"/>
        </w:rPr>
        <w:t>analysis of pricing and payments for NDIS</w:t>
      </w:r>
    </w:p>
    <w:p w14:paraId="5B27FAF3" w14:textId="77777777" w:rsidR="004C0B49" w:rsidRPr="004C0B49" w:rsidRDefault="004C0B49" w:rsidP="004C0B49">
      <w:pPr>
        <w:pStyle w:val="Listnumbers-Level1"/>
        <w:numPr>
          <w:ilvl w:val="0"/>
          <w:numId w:val="46"/>
        </w:numPr>
        <w:rPr>
          <w:sz w:val="24"/>
          <w:szCs w:val="24"/>
        </w:rPr>
      </w:pPr>
      <w:r w:rsidRPr="004C0B49">
        <w:rPr>
          <w:sz w:val="24"/>
          <w:szCs w:val="24"/>
        </w:rPr>
        <w:t>Productivity Commission’s 2017: proposed deregulation pathway in three stages:</w:t>
      </w:r>
    </w:p>
    <w:p w14:paraId="27D333A4" w14:textId="77777777" w:rsidR="004C0B49" w:rsidRPr="004C0B49" w:rsidRDefault="004C0B49" w:rsidP="004C0B49">
      <w:pPr>
        <w:pStyle w:val="Listbullets-Level2"/>
        <w:rPr>
          <w:szCs w:val="24"/>
        </w:rPr>
      </w:pPr>
      <w:r w:rsidRPr="004C0B49">
        <w:rPr>
          <w:szCs w:val="24"/>
        </w:rPr>
        <w:t>Stage 1: NDIA continue to set price caps and monitor prices</w:t>
      </w:r>
    </w:p>
    <w:p w14:paraId="6C70DB9D" w14:textId="77777777" w:rsidR="004C0B49" w:rsidRPr="004C0B49" w:rsidRDefault="004C0B49" w:rsidP="004C0B49">
      <w:pPr>
        <w:pStyle w:val="Listbullets-Level2"/>
        <w:rPr>
          <w:szCs w:val="24"/>
        </w:rPr>
      </w:pPr>
      <w:r w:rsidRPr="004C0B49">
        <w:rPr>
          <w:szCs w:val="24"/>
        </w:rPr>
        <w:t>Stage 2: NDIS Commission sets price caps</w:t>
      </w:r>
    </w:p>
    <w:p w14:paraId="40A6095A" w14:textId="77777777" w:rsidR="004C0B49" w:rsidRPr="004C0B49" w:rsidRDefault="004C0B49" w:rsidP="004C0B49">
      <w:pPr>
        <w:pStyle w:val="Listbullets-Level2"/>
        <w:rPr>
          <w:szCs w:val="24"/>
        </w:rPr>
      </w:pPr>
      <w:r w:rsidRPr="004C0B49">
        <w:rPr>
          <w:szCs w:val="24"/>
        </w:rPr>
        <w:t xml:space="preserve">Stage 3: Price set by market, NDIS Commission monitors this </w:t>
      </w:r>
    </w:p>
    <w:p w14:paraId="3CC18A27" w14:textId="77777777" w:rsidR="004C0B49" w:rsidRPr="004C0B49" w:rsidRDefault="004C0B49" w:rsidP="004C0B49">
      <w:pPr>
        <w:pStyle w:val="Listnumbers-Level1"/>
        <w:rPr>
          <w:sz w:val="24"/>
          <w:szCs w:val="24"/>
        </w:rPr>
      </w:pPr>
      <w:r w:rsidRPr="004C0B49">
        <w:rPr>
          <w:sz w:val="24"/>
          <w:szCs w:val="24"/>
        </w:rPr>
        <w:t>McKinsey’s 2018: Argued deregulation of pricing remains an appropriate goal, but there is not yet a clear path towards reaching it. Proposed strengthening and monitoring provider and participant readiness, including investing in key infrastructure, such as an e-market.</w:t>
      </w:r>
    </w:p>
    <w:p w14:paraId="67DDC671" w14:textId="77777777" w:rsidR="004C0B49" w:rsidRDefault="004C0B49" w:rsidP="004C0B49">
      <w:pPr>
        <w:pStyle w:val="Listnumbers-Level1"/>
        <w:rPr>
          <w:sz w:val="24"/>
          <w:szCs w:val="24"/>
        </w:rPr>
      </w:pPr>
      <w:r w:rsidRPr="004C0B49">
        <w:rPr>
          <w:sz w:val="24"/>
          <w:szCs w:val="24"/>
        </w:rPr>
        <w:t>Queensland Productivity Commission (QPC)’s 2021: suggested improve regulatory settings by placing NDIS sub-markets operating under competitive conditions on a pathway to price deregulation.</w:t>
      </w:r>
    </w:p>
    <w:p w14:paraId="4212D9CE" w14:textId="77777777" w:rsidR="002D26D4" w:rsidRDefault="00B67CD4" w:rsidP="002D26D4">
      <w:hyperlink w:anchor="Fig17" w:history="1">
        <w:r w:rsidR="00CB1BCB" w:rsidRPr="00CB1BCB">
          <w:rPr>
            <w:rStyle w:val="Hyperlink"/>
            <w:rFonts w:asciiTheme="minorHAnsi" w:hAnsiTheme="minorHAnsi"/>
          </w:rPr>
          <w:t>Return to F</w:t>
        </w:r>
        <w:r w:rsidR="002D26D4" w:rsidRPr="00CB1BCB">
          <w:rPr>
            <w:rStyle w:val="Hyperlink"/>
            <w:rFonts w:asciiTheme="minorHAnsi" w:hAnsiTheme="minorHAnsi"/>
          </w:rPr>
          <w:t>igure 17</w:t>
        </w:r>
      </w:hyperlink>
    </w:p>
    <w:p w14:paraId="683A9E3B" w14:textId="77777777" w:rsidR="002D26D4" w:rsidRDefault="002D26D4" w:rsidP="002D26D4">
      <w:pPr>
        <w:pStyle w:val="Heading3"/>
        <w:rPr>
          <w:sz w:val="24"/>
          <w:szCs w:val="24"/>
        </w:rPr>
      </w:pPr>
      <w:bookmarkStart w:id="384" w:name="_Figure_18_-"/>
      <w:bookmarkEnd w:id="384"/>
      <w:r w:rsidRPr="002D26D4">
        <w:rPr>
          <w:sz w:val="24"/>
          <w:szCs w:val="24"/>
        </w:rPr>
        <w:lastRenderedPageBreak/>
        <w:t xml:space="preserve">Figure 18 </w:t>
      </w:r>
      <w:r>
        <w:rPr>
          <w:sz w:val="24"/>
          <w:szCs w:val="24"/>
        </w:rPr>
        <w:t xml:space="preserve">- </w:t>
      </w:r>
      <w:r w:rsidRPr="002D26D4">
        <w:rPr>
          <w:sz w:val="24"/>
          <w:szCs w:val="24"/>
        </w:rPr>
        <w:t>The risk of a price and volume ratchet effect</w:t>
      </w:r>
    </w:p>
    <w:p w14:paraId="2BD53AF1" w14:textId="77777777" w:rsidR="002D26D4" w:rsidRDefault="002D26D4" w:rsidP="002D26D4">
      <w:pPr>
        <w:rPr>
          <w:rFonts w:ascii="Segoe UI" w:hAnsi="Segoe UI" w:cs="Segoe UI"/>
        </w:rPr>
      </w:pPr>
      <w:r w:rsidRPr="00093D0E">
        <w:rPr>
          <w:rFonts w:ascii="Segoe UI" w:hAnsi="Segoe UI" w:cs="Segoe UI"/>
        </w:rPr>
        <w:t>Flowchart indicating the risk of a price and volume ratchet effect</w:t>
      </w:r>
      <w:r>
        <w:rPr>
          <w:rFonts w:ascii="Segoe UI" w:hAnsi="Segoe UI" w:cs="Segoe UI"/>
        </w:rPr>
        <w:t xml:space="preserve"> </w:t>
      </w:r>
      <w:r w:rsidRPr="00093D0E">
        <w:rPr>
          <w:rFonts w:ascii="Segoe UI" w:hAnsi="Segoe UI" w:cs="Segoe UI"/>
        </w:rPr>
        <w:t>through six s</w:t>
      </w:r>
      <w:r>
        <w:rPr>
          <w:rFonts w:ascii="Segoe UI" w:hAnsi="Segoe UI" w:cs="Segoe UI"/>
        </w:rPr>
        <w:t>teps</w:t>
      </w:r>
    </w:p>
    <w:p w14:paraId="2E42EC8B" w14:textId="77777777" w:rsidR="002D26D4" w:rsidRDefault="002D26D4" w:rsidP="002D26D4">
      <w:r>
        <w:t>Steps:</w:t>
      </w:r>
    </w:p>
    <w:p w14:paraId="587964CA" w14:textId="77777777" w:rsidR="002D26D4" w:rsidRPr="002D26D4" w:rsidRDefault="002D26D4" w:rsidP="002D26D4">
      <w:pPr>
        <w:pStyle w:val="Listnumbers-Level1"/>
        <w:numPr>
          <w:ilvl w:val="0"/>
          <w:numId w:val="47"/>
        </w:numPr>
        <w:rPr>
          <w:sz w:val="24"/>
          <w:szCs w:val="24"/>
        </w:rPr>
      </w:pPr>
      <w:r w:rsidRPr="002D26D4">
        <w:rPr>
          <w:sz w:val="24"/>
          <w:szCs w:val="24"/>
        </w:rPr>
        <w:t>Remove price caps</w:t>
      </w:r>
    </w:p>
    <w:p w14:paraId="441C807C" w14:textId="77777777" w:rsidR="002D26D4" w:rsidRPr="002D26D4" w:rsidRDefault="002D26D4" w:rsidP="002D26D4">
      <w:pPr>
        <w:pStyle w:val="Listnumbers-Level1"/>
        <w:rPr>
          <w:sz w:val="24"/>
          <w:szCs w:val="24"/>
        </w:rPr>
      </w:pPr>
      <w:r w:rsidRPr="002D26D4">
        <w:rPr>
          <w:sz w:val="24"/>
          <w:szCs w:val="24"/>
        </w:rPr>
        <w:t>Providers seek to increase prices and volume of supports delivered</w:t>
      </w:r>
    </w:p>
    <w:p w14:paraId="1479EC7E" w14:textId="77777777" w:rsidR="002D26D4" w:rsidRPr="002D26D4" w:rsidRDefault="002D26D4" w:rsidP="002D26D4">
      <w:pPr>
        <w:pStyle w:val="Listnumbers-Level1"/>
        <w:rPr>
          <w:sz w:val="24"/>
          <w:szCs w:val="24"/>
        </w:rPr>
      </w:pPr>
      <w:r w:rsidRPr="002D26D4">
        <w:rPr>
          <w:sz w:val="24"/>
          <w:szCs w:val="24"/>
        </w:rPr>
        <w:t>Participants have inadequate ability and incentives to constrain provider behaviour</w:t>
      </w:r>
    </w:p>
    <w:p w14:paraId="24725047" w14:textId="77777777" w:rsidR="002D26D4" w:rsidRPr="002D26D4" w:rsidRDefault="002D26D4" w:rsidP="002D26D4">
      <w:pPr>
        <w:pStyle w:val="Listnumbers-Level1"/>
        <w:rPr>
          <w:sz w:val="24"/>
          <w:szCs w:val="24"/>
        </w:rPr>
      </w:pPr>
      <w:r w:rsidRPr="002D26D4">
        <w:rPr>
          <w:sz w:val="24"/>
          <w:szCs w:val="24"/>
        </w:rPr>
        <w:t>Price and volume of supports rise (which may not be linked to improved outcomes)</w:t>
      </w:r>
    </w:p>
    <w:p w14:paraId="507E779A" w14:textId="77777777" w:rsidR="002D26D4" w:rsidRPr="002D26D4" w:rsidRDefault="002D26D4" w:rsidP="002D26D4">
      <w:pPr>
        <w:pStyle w:val="Listnumbers-Level1"/>
        <w:rPr>
          <w:sz w:val="24"/>
          <w:szCs w:val="24"/>
        </w:rPr>
      </w:pPr>
      <w:r w:rsidRPr="002D26D4">
        <w:rPr>
          <w:sz w:val="24"/>
          <w:szCs w:val="24"/>
        </w:rPr>
        <w:t>Participants have insufficient funding to purchase required supports</w:t>
      </w:r>
    </w:p>
    <w:p w14:paraId="1EBF378C" w14:textId="77777777" w:rsidR="002D26D4" w:rsidRPr="002D26D4" w:rsidRDefault="002D26D4" w:rsidP="002D26D4">
      <w:pPr>
        <w:pStyle w:val="Listnumbers-Level1"/>
        <w:rPr>
          <w:sz w:val="24"/>
          <w:szCs w:val="24"/>
        </w:rPr>
      </w:pPr>
      <w:r w:rsidRPr="002D26D4">
        <w:rPr>
          <w:sz w:val="24"/>
          <w:szCs w:val="24"/>
        </w:rPr>
        <w:t>Plan reviews lead to increased participant budgets</w:t>
      </w:r>
    </w:p>
    <w:p w14:paraId="28C2BF37" w14:textId="77777777" w:rsidR="002D26D4" w:rsidRDefault="002D26D4" w:rsidP="002D26D4">
      <w:r>
        <w:t>Step 6 loops back up to Step 2 – where providers seek to increase prices and volume of supports delivered.</w:t>
      </w:r>
    </w:p>
    <w:p w14:paraId="522E7426" w14:textId="77777777" w:rsidR="002D26D4" w:rsidRDefault="00B67CD4" w:rsidP="002D26D4">
      <w:hyperlink w:anchor="Fig18" w:history="1">
        <w:r w:rsidR="00CB1BCB" w:rsidRPr="00CB1BCB">
          <w:rPr>
            <w:rStyle w:val="Hyperlink"/>
            <w:rFonts w:asciiTheme="minorHAnsi" w:hAnsiTheme="minorHAnsi"/>
          </w:rPr>
          <w:t>Return to F</w:t>
        </w:r>
        <w:r w:rsidR="002D26D4" w:rsidRPr="00CB1BCB">
          <w:rPr>
            <w:rStyle w:val="Hyperlink"/>
            <w:rFonts w:asciiTheme="minorHAnsi" w:hAnsiTheme="minorHAnsi"/>
          </w:rPr>
          <w:t>igure 18</w:t>
        </w:r>
      </w:hyperlink>
    </w:p>
    <w:p w14:paraId="5B2AC778" w14:textId="77777777" w:rsidR="002D26D4" w:rsidRPr="00CA4C49" w:rsidRDefault="002D26D4" w:rsidP="00CA4C49">
      <w:pPr>
        <w:pStyle w:val="00-Bodytable"/>
        <w:rPr>
          <w:rStyle w:val="field"/>
        </w:rPr>
      </w:pPr>
    </w:p>
    <w:sectPr w:rsidR="002D26D4" w:rsidRPr="00CA4C49" w:rsidSect="00CA2930">
      <w:headerReference w:type="default" r:id="rId29"/>
      <w:endnotePr>
        <w:numFmt w:val="decimal"/>
      </w:endnotePr>
      <w:pgSz w:w="11906" w:h="16838" w:code="9"/>
      <w:pgMar w:top="1559" w:right="1134" w:bottom="1559" w:left="1134" w:header="992" w:footer="709" w:gutter="0"/>
      <w:cols w:space="708"/>
      <w:docGrid w:linePitch="360"/>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27710B68" w16cex:dateUtc="2023-01-17T00:56:00Z"/>
  <w16cex:commentExtensible w16cex:durableId="27710A90" w16cex:dateUtc="2023-01-17T00:52:00Z"/>
  <w16cex:commentExtensible w16cex:durableId="27710B04" w16cex:dateUtc="2023-01-17T00:54:00Z"/>
  <w16cex:commentExtensible w16cex:durableId="27710B99" w16cex:dateUtc="2023-01-17T00:57:00Z"/>
  <w16cex:commentExtensible w16cex:durableId="27714384" w16cex:dateUtc="2023-01-17T04:55:00Z"/>
  <w16cex:commentExtensible w16cex:durableId="2771450C" w16cex:dateUtc="2023-01-17T05:02:00Z"/>
  <w16cex:commentExtensible w16cex:durableId="2771454D" w16cex:dateUtc="2023-01-17T05:03:00Z"/>
  <w16cex:commentExtensible w16cex:durableId="27714622" w16cex:dateUtc="2023-01-17T05:06:00Z"/>
  <w16cex:commentExtensible w16cex:durableId="27714798" w16cex:dateUtc="2023-01-17T05:13:00Z"/>
  <w16cex:commentExtensible w16cex:durableId="2771486D" w16cex:dateUtc="2023-01-17T05:16:00Z"/>
  <w16cex:commentExtensible w16cex:durableId="27716255" w16cex:dateUtc="2023-01-17T07:07:00Z"/>
  <w16cex:commentExtensible w16cex:durableId="277162B5" w16cex:dateUtc="2023-01-17T07:08:00Z"/>
  <w16cex:commentExtensible w16cex:durableId="277148DD" w16cex:dateUtc="2023-01-17T05:18:00Z"/>
  <w16cex:commentExtensible w16cex:durableId="2771630C" w16cex:dateUtc="2023-01-17T07:10:00Z"/>
  <w16cex:commentExtensible w16cex:durableId="27716391" w16cex:dateUtc="2023-01-17T07:12:00Z"/>
  <w16cex:commentExtensible w16cex:durableId="277163BC" w16cex:dateUtc="2023-01-17T07:13:00Z"/>
  <w16cex:commentExtensible w16cex:durableId="277163EF" w16cex:dateUtc="2023-01-17T07:14:00Z"/>
  <w16cex:commentExtensible w16cex:durableId="27716472" w16cex:dateUtc="2023-01-17T07:16:00Z"/>
  <w16cex:commentExtensible w16cex:durableId="277164B2" w16cex:dateUtc="2023-01-17T07:17:00Z"/>
  <w16cex:commentExtensible w16cex:durableId="27716558" w16cex:dateUtc="2023-01-17T07:20:00Z"/>
  <w16cex:commentExtensible w16cex:durableId="2771664C" w16cex:dateUtc="2023-01-17T07:24:00Z"/>
  <w16cex:commentExtensible w16cex:durableId="277166AD" w16cex:dateUtc="2023-01-17T07:25:00Z"/>
  <w16cex:commentExtensible w16cex:durableId="27716750" w16cex:dateUtc="2023-01-17T07:28:00Z"/>
  <w16cex:commentExtensible w16cex:durableId="277167AB" w16cex:dateUtc="2023-01-17T07:30:00Z"/>
  <w16cex:commentExtensible w16cex:durableId="277167CC" w16cex:dateUtc="2023-01-17T07:30:00Z"/>
  <w16cex:commentExtensible w16cex:durableId="277169C9" w16cex:dateUtc="2023-01-17T07:39:00Z"/>
  <w16cex:commentExtensible w16cex:durableId="1D7DF832" w16cex:dateUtc="2023-03-22T05:01:59.431Z"/>
  <w16cex:commentExtensible w16cex:durableId="52E236AA" w16cex:dateUtc="2023-03-22T05:08:44.363Z"/>
  <w16cex:commentExtensible w16cex:durableId="1068C2EB" w16cex:dateUtc="2023-03-22T05:09:18.205Z"/>
  <w16cex:commentExtensible w16cex:durableId="10EAE4B0" w16cex:dateUtc="2023-03-23T02:19:20.421Z"/>
  <w16cex:commentExtensible w16cex:durableId="6EBF7851" w16cex:dateUtc="2023-03-22T05:16:33.731Z"/>
  <w16cex:commentExtensible w16cex:durableId="2FC107EF" w16cex:dateUtc="2023-03-22T23:28:30.878Z"/>
  <w16cex:commentExtensible w16cex:durableId="1697D902" w16cex:dateUtc="2023-03-23T01:10:15.439Z"/>
  <w16cex:commentExtensible w16cex:durableId="0BC0723D" w16cex:dateUtc="2023-03-22T05:55:33.529Z"/>
  <w16cex:commentExtensible w16cex:durableId="72C37A3C" w16cex:dateUtc="2023-03-22T05:59:28.397Z"/>
  <w16cex:commentExtensible w16cex:durableId="3ADC71D1" w16cex:dateUtc="2023-03-22T07:05:01.658Z"/>
  <w16cex:commentExtensible w16cex:durableId="5E20DBBA" w16cex:dateUtc="2023-03-22T07:06:05.378Z"/>
  <w16cex:commentExtensible w16cex:durableId="547D293B" w16cex:dateUtc="2023-03-23T01:01:50.407Z"/>
  <w16cex:commentExtensible w16cex:durableId="5FBDAB78" w16cex:dateUtc="2023-03-22T07:24:12.989Z"/>
  <w16cex:commentExtensible w16cex:durableId="2323307A" w16cex:dateUtc="2023-03-23T00:54:57.283Z"/>
  <w16cex:commentExtensible w16cex:durableId="676B157F" w16cex:dateUtc="2023-03-22T22:15:35.004Z"/>
  <w16cex:commentExtensible w16cex:durableId="4366FEC0" w16cex:dateUtc="2023-03-22T22:17:59.548Z"/>
  <w16cex:commentExtensible w16cex:durableId="22535BFA" w16cex:dateUtc="2023-03-22T05:16:33.731Z"/>
  <w16cex:commentExtensible w16cex:durableId="001F6A5B" w16cex:dateUtc="2023-03-22T05:17:08.485Z"/>
  <w16cex:commentExtensible w16cex:durableId="68795CA0" w16cex:dateUtc="2023-03-23T02:21:56.296Z"/>
</w16cex:commentsExtensible>
</file>

<file path=word/commentsIds.xml><?xml version="1.0" encoding="utf-8"?>
<w16cid:commentsIds xmlns:mc="http://schemas.openxmlformats.org/markup-compatibility/2006" xmlns:w16cid="http://schemas.microsoft.com/office/word/2016/wordml/cid" mc:Ignorable="w16cid">
  <w16cid:commentId w16cid:paraId="4101F6EC" w16cid:durableId="27710B68"/>
  <w16cid:commentId w16cid:paraId="0339C4AD" w16cid:durableId="27710A90"/>
  <w16cid:commentId w16cid:paraId="67629B33" w16cid:durableId="27710B04"/>
  <w16cid:commentId w16cid:paraId="487F6E46" w16cid:durableId="27710B99"/>
  <w16cid:commentId w16cid:paraId="604FA0A9" w16cid:durableId="27714384"/>
  <w16cid:commentId w16cid:paraId="3C9381D9" w16cid:durableId="2771450C"/>
  <w16cid:commentId w16cid:paraId="12FFB5D5" w16cid:durableId="2771454D"/>
  <w16cid:commentId w16cid:paraId="1B3A5165" w16cid:durableId="27714622"/>
  <w16cid:commentId w16cid:paraId="48E1BB93" w16cid:durableId="27714798"/>
  <w16cid:commentId w16cid:paraId="3E379551" w16cid:durableId="2771486D"/>
  <w16cid:commentId w16cid:paraId="05D2966B" w16cid:durableId="27716255"/>
  <w16cid:commentId w16cid:paraId="3DD310FE" w16cid:durableId="277162B5"/>
  <w16cid:commentId w16cid:paraId="06FA9B72" w16cid:durableId="277148DD"/>
  <w16cid:commentId w16cid:paraId="41A5EEAF" w16cid:durableId="2771630C"/>
  <w16cid:commentId w16cid:paraId="69E07811" w16cid:durableId="27716391"/>
  <w16cid:commentId w16cid:paraId="26F915E3" w16cid:durableId="277163BC"/>
  <w16cid:commentId w16cid:paraId="6AD4F5BF" w16cid:durableId="277163EF"/>
  <w16cid:commentId w16cid:paraId="2E71075D" w16cid:durableId="27716472"/>
  <w16cid:commentId w16cid:paraId="3657E104" w16cid:durableId="277164B2"/>
  <w16cid:commentId w16cid:paraId="5D39B032" w16cid:durableId="27716558"/>
  <w16cid:commentId w16cid:paraId="2CEDE00F" w16cid:durableId="2771664C"/>
  <w16cid:commentId w16cid:paraId="1A32A3BE" w16cid:durableId="277166AD"/>
  <w16cid:commentId w16cid:paraId="315DE1F8" w16cid:durableId="27716750"/>
  <w16cid:commentId w16cid:paraId="191172B3" w16cid:durableId="277167AB"/>
  <w16cid:commentId w16cid:paraId="636EB3B6" w16cid:durableId="277167CC"/>
  <w16cid:commentId w16cid:paraId="2AFFDD4A" w16cid:durableId="277169C9"/>
  <w16cid:commentId w16cid:paraId="14144DDF" w16cid:durableId="56543A44"/>
  <w16cid:commentId w16cid:paraId="0EC3B22E" w16cid:durableId="610D97D4"/>
  <w16cid:commentId w16cid:paraId="26A0712A" w16cid:durableId="0F0F3401"/>
  <w16cid:commentId w16cid:paraId="7E698933" w16cid:durableId="1D541DCE"/>
  <w16cid:commentId w16cid:paraId="73054597" w16cid:durableId="5C11F1A9"/>
  <w16cid:commentId w16cid:paraId="5821A3F7" w16cid:durableId="15A091A5"/>
  <w16cid:commentId w16cid:paraId="14DA1DEA" w16cid:durableId="51D34FD0"/>
  <w16cid:commentId w16cid:paraId="765779D8" w16cid:durableId="0F9D1A95"/>
  <w16cid:commentId w16cid:paraId="7C57537F" w16cid:durableId="0D98EDAC"/>
  <w16cid:commentId w16cid:paraId="5DA2E442" w16cid:durableId="687CB716"/>
  <w16cid:commentId w16cid:paraId="21D449A1" w16cid:durableId="1D7DF832"/>
  <w16cid:commentId w16cid:paraId="3C04AC68" w16cid:durableId="52E236AA"/>
  <w16cid:commentId w16cid:paraId="23568A0E" w16cid:durableId="1068C2EB"/>
  <w16cid:commentId w16cid:paraId="00E1AF61" w16cid:durableId="0BC0723D"/>
  <w16cid:commentId w16cid:paraId="7D9509B7" w16cid:durableId="72C37A3C"/>
  <w16cid:commentId w16cid:paraId="4B9FE0A4" w16cid:durableId="3ADC71D1"/>
  <w16cid:commentId w16cid:paraId="33CD060F" w16cid:durableId="5E20DBBA"/>
  <w16cid:commentId w16cid:paraId="440E4336" w16cid:durableId="5FBDAB78"/>
  <w16cid:commentId w16cid:paraId="2EC86172" w16cid:durableId="676B157F"/>
  <w16cid:commentId w16cid:paraId="2269CF24" w16cid:durableId="4366FEC0"/>
  <w16cid:commentId w16cid:paraId="1F0D2D51" w16cid:durableId="2FC107EF"/>
  <w16cid:commentId w16cid:paraId="5C11108C" w16cid:durableId="6EBF7851"/>
  <w16cid:commentId w16cid:paraId="40BDE686" w16cid:durableId="22535BFA"/>
  <w16cid:commentId w16cid:paraId="67566A2D" w16cid:durableId="674CF650"/>
  <w16cid:commentId w16cid:paraId="77EB8BF4" w16cid:durableId="7D369E20"/>
  <w16cid:commentId w16cid:paraId="74A503BE" w16cid:durableId="001F6A5B"/>
  <w16cid:commentId w16cid:paraId="012DF470" w16cid:durableId="2323307A"/>
  <w16cid:commentId w16cid:paraId="52407ED6" w16cid:durableId="547D293B"/>
  <w16cid:commentId w16cid:paraId="7FCAFDFA" w16cid:durableId="1697D902"/>
  <w16cid:commentId w16cid:paraId="5915E4D9" w16cid:durableId="10EAE4B0"/>
  <w16cid:commentId w16cid:paraId="14991D43" w16cid:durableId="68795CA0"/>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3AAFDA6" w14:textId="77777777" w:rsidR="009F258D" w:rsidRDefault="009F258D" w:rsidP="00F957C6">
      <w:pPr>
        <w:spacing w:after="0" w:line="240" w:lineRule="auto"/>
      </w:pPr>
      <w:r>
        <w:separator/>
      </w:r>
    </w:p>
  </w:endnote>
  <w:endnote w:type="continuationSeparator" w:id="0">
    <w:p w14:paraId="7DAF8AAF" w14:textId="77777777" w:rsidR="009F258D" w:rsidRDefault="009F258D" w:rsidP="00F957C6">
      <w:pPr>
        <w:spacing w:after="0" w:line="240" w:lineRule="auto"/>
      </w:pPr>
      <w:r>
        <w:continuationSeparator/>
      </w:r>
    </w:p>
  </w:endnote>
  <w:endnote w:type="continuationNotice" w:id="1">
    <w:p w14:paraId="0A6D1DD5" w14:textId="77777777" w:rsidR="009F258D" w:rsidRDefault="009F258D">
      <w:pPr>
        <w:spacing w:after="0" w:line="240" w:lineRule="auto"/>
      </w:pPr>
    </w:p>
  </w:endnote>
  <w:endnote w:id="2">
    <w:p w14:paraId="7D8F6BEB" w14:textId="77777777" w:rsidR="00C53CA3" w:rsidRPr="008318E1" w:rsidRDefault="00C53CA3" w:rsidP="00D7519C">
      <w:pPr>
        <w:pStyle w:val="EndnoteText"/>
        <w:rPr>
          <w:rFonts w:cstheme="minorHAnsi"/>
        </w:rPr>
      </w:pPr>
      <w:r w:rsidRPr="008318E1">
        <w:rPr>
          <w:rStyle w:val="EndnoteReference"/>
          <w:rFonts w:cstheme="minorHAnsi"/>
        </w:rPr>
        <w:endnoteRef/>
      </w:r>
      <w:r w:rsidRPr="008318E1">
        <w:rPr>
          <w:rFonts w:cstheme="minorHAnsi"/>
        </w:rPr>
        <w:t xml:space="preserve"> </w:t>
      </w:r>
      <w:r w:rsidRPr="00B62515">
        <w:rPr>
          <w:rFonts w:cstheme="minorHAnsi"/>
        </w:rPr>
        <w:t>Joint Standing Committee on the National Disability Insurance Scheme</w:t>
      </w:r>
      <w:r>
        <w:rPr>
          <w:rFonts w:cstheme="minorHAnsi"/>
        </w:rPr>
        <w:t>,</w:t>
      </w:r>
      <w:r w:rsidRPr="00B62515" w:rsidDel="00B62515">
        <w:rPr>
          <w:rFonts w:cstheme="minorHAnsi"/>
        </w:rPr>
        <w:t xml:space="preserve"> </w:t>
      </w:r>
      <w:r w:rsidRPr="008318E1">
        <w:rPr>
          <w:rFonts w:cstheme="minorHAnsi"/>
          <w:i/>
        </w:rPr>
        <w:t>Market Readiness</w:t>
      </w:r>
      <w:r w:rsidRPr="008318E1">
        <w:rPr>
          <w:rFonts w:cstheme="minorHAnsi"/>
        </w:rPr>
        <w:t xml:space="preserve"> </w:t>
      </w:r>
      <w:r w:rsidRPr="00BF5493">
        <w:rPr>
          <w:rFonts w:cstheme="minorHAnsi"/>
          <w:i/>
        </w:rPr>
        <w:t>Final Report</w:t>
      </w:r>
      <w:r w:rsidRPr="008318E1">
        <w:rPr>
          <w:rFonts w:cstheme="minorHAnsi"/>
        </w:rPr>
        <w:t xml:space="preserve">, </w:t>
      </w:r>
      <w:r>
        <w:rPr>
          <w:rFonts w:eastAsia="Calibri"/>
          <w:lang w:val="en-US"/>
        </w:rPr>
        <w:t xml:space="preserve">Parliament of Australia, </w:t>
      </w:r>
      <w:r w:rsidRPr="008318E1">
        <w:rPr>
          <w:rFonts w:cstheme="minorHAnsi"/>
        </w:rPr>
        <w:t>2018a, pp.</w:t>
      </w:r>
      <w:r>
        <w:rPr>
          <w:rFonts w:cstheme="minorHAnsi"/>
        </w:rPr>
        <w:t xml:space="preserve"> </w:t>
      </w:r>
      <w:r w:rsidRPr="008318E1">
        <w:rPr>
          <w:rFonts w:cstheme="minorHAnsi"/>
        </w:rPr>
        <w:t>25-</w:t>
      </w:r>
      <w:r>
        <w:rPr>
          <w:rFonts w:cstheme="minorHAnsi"/>
        </w:rPr>
        <w:t>2</w:t>
      </w:r>
      <w:r w:rsidRPr="008318E1">
        <w:rPr>
          <w:rFonts w:cstheme="minorHAnsi"/>
        </w:rPr>
        <w:t>9</w:t>
      </w:r>
      <w:r>
        <w:rPr>
          <w:rFonts w:cstheme="minorHAnsi"/>
        </w:rPr>
        <w:t>.</w:t>
      </w:r>
    </w:p>
  </w:endnote>
  <w:endnote w:id="3">
    <w:p w14:paraId="022C0485" w14:textId="77777777" w:rsidR="00C53CA3" w:rsidRPr="008318E1" w:rsidRDefault="00C53CA3" w:rsidP="00D7519C">
      <w:pPr>
        <w:pStyle w:val="EndnoteText"/>
        <w:rPr>
          <w:rFonts w:cstheme="minorHAnsi"/>
        </w:rPr>
      </w:pPr>
      <w:r w:rsidRPr="008318E1">
        <w:rPr>
          <w:rStyle w:val="EndnoteReference"/>
          <w:rFonts w:cstheme="minorHAnsi"/>
        </w:rPr>
        <w:endnoteRef/>
      </w:r>
      <w:r w:rsidRPr="008318E1">
        <w:rPr>
          <w:rFonts w:cstheme="minorHAnsi"/>
        </w:rPr>
        <w:t xml:space="preserve"> National Alliance of Capacity Building Organisations (NACBO), </w:t>
      </w:r>
      <w:r w:rsidRPr="008318E1">
        <w:rPr>
          <w:rFonts w:cstheme="minorHAnsi"/>
          <w:i/>
        </w:rPr>
        <w:t>Workforce innovation through self</w:t>
      </w:r>
      <w:r w:rsidRPr="008318E1">
        <w:rPr>
          <w:rFonts w:cstheme="minorHAnsi"/>
          <w:i/>
        </w:rPr>
        <w:noBreakHyphen/>
        <w:t>managed supports</w:t>
      </w:r>
      <w:r w:rsidRPr="008318E1">
        <w:rPr>
          <w:rFonts w:cstheme="minorHAnsi"/>
        </w:rPr>
        <w:t>, 2018</w:t>
      </w:r>
      <w:r>
        <w:rPr>
          <w:rFonts w:cstheme="minorHAnsi"/>
        </w:rPr>
        <w:t xml:space="preserve">, </w:t>
      </w:r>
      <w:r w:rsidRPr="008318E1">
        <w:rPr>
          <w:rFonts w:cstheme="minorHAnsi"/>
        </w:rPr>
        <w:t>pp.</w:t>
      </w:r>
      <w:r>
        <w:rPr>
          <w:rFonts w:cstheme="minorHAnsi"/>
        </w:rPr>
        <w:t xml:space="preserve"> </w:t>
      </w:r>
      <w:r w:rsidRPr="008318E1">
        <w:rPr>
          <w:rFonts w:cstheme="minorHAnsi"/>
        </w:rPr>
        <w:t>28-</w:t>
      </w:r>
      <w:r>
        <w:rPr>
          <w:rFonts w:cstheme="minorHAnsi"/>
        </w:rPr>
        <w:t>43.</w:t>
      </w:r>
    </w:p>
  </w:endnote>
  <w:endnote w:id="4">
    <w:p w14:paraId="6DB61664" w14:textId="77777777" w:rsidR="00C53CA3" w:rsidRPr="008318E1" w:rsidRDefault="00C53CA3" w:rsidP="00D7519C">
      <w:pPr>
        <w:pStyle w:val="EndnoteText"/>
        <w:rPr>
          <w:rFonts w:eastAsia="Times New Roman" w:cstheme="minorHAnsi"/>
          <w:i/>
          <w:lang w:eastAsia="en-AU"/>
        </w:rPr>
      </w:pPr>
      <w:r>
        <w:rPr>
          <w:rStyle w:val="EndnoteReference"/>
        </w:rPr>
        <w:endnoteRef/>
      </w:r>
      <w:r>
        <w:t xml:space="preserve"> </w:t>
      </w:r>
      <w:r w:rsidRPr="008318E1">
        <w:rPr>
          <w:rFonts w:eastAsia="Times New Roman" w:cstheme="minorHAnsi"/>
          <w:lang w:eastAsia="en-AU"/>
        </w:rPr>
        <w:t xml:space="preserve">Productivity Commission, </w:t>
      </w:r>
      <w:r w:rsidRPr="008318E1">
        <w:rPr>
          <w:rFonts w:eastAsia="Times New Roman" w:cstheme="minorHAnsi"/>
          <w:i/>
          <w:lang w:eastAsia="en-AU"/>
        </w:rPr>
        <w:t>Advancing Prosperity – 5-year Productivity Inquiry Report</w:t>
      </w:r>
      <w:r w:rsidRPr="008318E1">
        <w:rPr>
          <w:rFonts w:eastAsia="Times New Roman" w:cstheme="minorHAnsi"/>
          <w:lang w:eastAsia="en-AU"/>
        </w:rPr>
        <w:t>, Volume 5, 2023</w:t>
      </w:r>
      <w:r>
        <w:rPr>
          <w:rFonts w:eastAsia="Times New Roman" w:cstheme="minorHAnsi"/>
          <w:lang w:eastAsia="en-AU"/>
        </w:rPr>
        <w:t xml:space="preserve">, </w:t>
      </w:r>
      <w:r w:rsidRPr="008318E1">
        <w:rPr>
          <w:rFonts w:eastAsia="Times New Roman" w:cstheme="minorHAnsi"/>
          <w:lang w:eastAsia="en-AU"/>
        </w:rPr>
        <w:t>p</w:t>
      </w:r>
      <w:r>
        <w:rPr>
          <w:rFonts w:eastAsia="Times New Roman" w:cstheme="minorHAnsi"/>
          <w:lang w:eastAsia="en-AU"/>
        </w:rPr>
        <w:t>p</w:t>
      </w:r>
      <w:r w:rsidRPr="008318E1">
        <w:rPr>
          <w:rFonts w:eastAsia="Times New Roman" w:cstheme="minorHAnsi"/>
          <w:lang w:eastAsia="en-AU"/>
        </w:rPr>
        <w:t>. 75</w:t>
      </w:r>
      <w:r>
        <w:rPr>
          <w:rFonts w:eastAsia="Times New Roman" w:cstheme="minorHAnsi"/>
          <w:lang w:eastAsia="en-AU"/>
        </w:rPr>
        <w:t>.</w:t>
      </w:r>
    </w:p>
  </w:endnote>
  <w:endnote w:id="5">
    <w:p w14:paraId="7D85DD62" w14:textId="77777777" w:rsidR="00C53CA3" w:rsidRDefault="00C53CA3" w:rsidP="008450D5">
      <w:pPr>
        <w:pStyle w:val="EndnoteText"/>
      </w:pPr>
      <w:r>
        <w:rPr>
          <w:rStyle w:val="EndnoteReference"/>
        </w:rPr>
        <w:endnoteRef/>
      </w:r>
      <w:r>
        <w:t xml:space="preserve"> National Disability Services (NDS), </w:t>
      </w:r>
      <w:r w:rsidRPr="00891BB6">
        <w:rPr>
          <w:i/>
        </w:rPr>
        <w:t>State of the Disability Sector Report 2022</w:t>
      </w:r>
      <w:r>
        <w:rPr>
          <w:i/>
        </w:rPr>
        <w:t>,</w:t>
      </w:r>
      <w:r>
        <w:t xml:space="preserve"> 2022,</w:t>
      </w:r>
      <w:r w:rsidDel="00CC009F">
        <w:t xml:space="preserve"> </w:t>
      </w:r>
      <w:r>
        <w:t>pp.11.</w:t>
      </w:r>
    </w:p>
  </w:endnote>
  <w:endnote w:id="6">
    <w:p w14:paraId="138AEE78" w14:textId="77777777" w:rsidR="00C53CA3" w:rsidRDefault="00C53CA3" w:rsidP="008450D5">
      <w:pPr>
        <w:pStyle w:val="EndnoteText"/>
      </w:pPr>
      <w:r>
        <w:rPr>
          <w:rStyle w:val="EndnoteReference"/>
        </w:rPr>
        <w:endnoteRef/>
      </w:r>
      <w:r>
        <w:t xml:space="preserve"> National Disability Services (NDS), </w:t>
      </w:r>
      <w:r w:rsidRPr="00891BB6">
        <w:rPr>
          <w:i/>
        </w:rPr>
        <w:t>State of the Disability Sector Report 2022</w:t>
      </w:r>
      <w:r>
        <w:rPr>
          <w:i/>
        </w:rPr>
        <w:t>,</w:t>
      </w:r>
      <w:r>
        <w:t xml:space="preserve"> 2022,</w:t>
      </w:r>
      <w:r w:rsidDel="00CC009F">
        <w:t xml:space="preserve"> </w:t>
      </w:r>
      <w:r>
        <w:t>pp.21.</w:t>
      </w:r>
    </w:p>
  </w:endnote>
  <w:endnote w:id="7">
    <w:p w14:paraId="53EB1A6E" w14:textId="77777777" w:rsidR="00C53CA3" w:rsidRDefault="00C53CA3" w:rsidP="00857915">
      <w:pPr>
        <w:pStyle w:val="EndnoteText"/>
      </w:pPr>
      <w:r>
        <w:rPr>
          <w:rStyle w:val="EndnoteReference"/>
        </w:rPr>
        <w:endnoteRef/>
      </w:r>
      <w:r>
        <w:t xml:space="preserve"> Centre for Market Design, </w:t>
      </w:r>
      <w:r>
        <w:rPr>
          <w:i/>
        </w:rPr>
        <w:t>Improving Transport for Students with Disability</w:t>
      </w:r>
      <w:r>
        <w:t xml:space="preserve">. </w:t>
      </w:r>
      <w:hyperlink r:id="rId1" w:history="1">
        <w:r w:rsidRPr="00387564">
          <w:rPr>
            <w:rStyle w:val="Hyperlink"/>
            <w:rFonts w:asciiTheme="minorHAnsi" w:hAnsiTheme="minorHAnsi"/>
            <w:sz w:val="20"/>
          </w:rPr>
          <w:t>https://fbe.unimelb.edu.au/cmd/projects/smart-market-for-student-transport</w:t>
        </w:r>
      </w:hyperlink>
    </w:p>
  </w:endnote>
  <w:endnote w:id="8">
    <w:p w14:paraId="7D61C792" w14:textId="77777777" w:rsidR="00C53CA3" w:rsidRPr="008318E1" w:rsidRDefault="00C53CA3" w:rsidP="00857915">
      <w:pPr>
        <w:pStyle w:val="EndnoteText"/>
        <w:rPr>
          <w:rFonts w:cstheme="minorHAnsi"/>
        </w:rPr>
      </w:pPr>
      <w:r w:rsidRPr="008318E1">
        <w:rPr>
          <w:rStyle w:val="EndnoteReference"/>
          <w:rFonts w:cstheme="minorHAnsi"/>
        </w:rPr>
        <w:endnoteRef/>
      </w:r>
      <w:r w:rsidRPr="008318E1">
        <w:rPr>
          <w:rFonts w:cstheme="minorHAnsi"/>
        </w:rPr>
        <w:t xml:space="preserve"> Submission 501 to the NDIS Review’s </w:t>
      </w:r>
      <w:r w:rsidRPr="008318E1">
        <w:rPr>
          <w:rFonts w:cstheme="minorHAnsi"/>
          <w:i/>
        </w:rPr>
        <w:t>Have your say</w:t>
      </w:r>
      <w:r w:rsidRPr="008318E1">
        <w:rPr>
          <w:rFonts w:cstheme="minorHAnsi"/>
        </w:rPr>
        <w:t xml:space="preserve"> survey</w:t>
      </w:r>
      <w:r>
        <w:rPr>
          <w:rFonts w:cstheme="minorHAnsi"/>
        </w:rPr>
        <w:t>.</w:t>
      </w:r>
    </w:p>
  </w:endnote>
  <w:endnote w:id="9">
    <w:p w14:paraId="2B323589" w14:textId="77777777" w:rsidR="00C53CA3" w:rsidRDefault="00C53CA3" w:rsidP="00857915">
      <w:pPr>
        <w:pStyle w:val="EndnoteText"/>
      </w:pPr>
      <w:r>
        <w:rPr>
          <w:rStyle w:val="EndnoteReference"/>
        </w:rPr>
        <w:endnoteRef/>
      </w:r>
      <w:r>
        <w:t xml:space="preserve"> </w:t>
      </w:r>
      <w:r w:rsidRPr="003E2527">
        <w:t xml:space="preserve">National Disability Insurance Agency </w:t>
      </w:r>
      <w:r>
        <w:t>(</w:t>
      </w:r>
      <w:r w:rsidRPr="003E2527">
        <w:t>NDIA</w:t>
      </w:r>
      <w:r>
        <w:t xml:space="preserve">), </w:t>
      </w:r>
      <w:r w:rsidRPr="00BF5493">
        <w:rPr>
          <w:i/>
        </w:rPr>
        <w:t>Coordinated Funding Proposals</w:t>
      </w:r>
      <w:r>
        <w:t xml:space="preserve">, 2022. </w:t>
      </w:r>
      <w:r w:rsidRPr="00BF5493">
        <w:t>www.ndis.gov.au/providers/market-monitoring-and-intervention/coordinated-funding-proposals</w:t>
      </w:r>
    </w:p>
  </w:endnote>
  <w:endnote w:id="10">
    <w:p w14:paraId="403C883C" w14:textId="77777777" w:rsidR="00C53CA3" w:rsidRDefault="00C53CA3" w:rsidP="00857915">
      <w:pPr>
        <w:pStyle w:val="EndnoteText"/>
      </w:pPr>
      <w:r>
        <w:rPr>
          <w:rStyle w:val="EndnoteReference"/>
        </w:rPr>
        <w:endnoteRef/>
      </w:r>
      <w:r>
        <w:t xml:space="preserve"> </w:t>
      </w:r>
      <w:r w:rsidRPr="008318E1">
        <w:rPr>
          <w:rFonts w:cstheme="minorHAnsi"/>
        </w:rPr>
        <w:t xml:space="preserve">Green, C., Malbon, E., Carey, G., Dickinson, H., Reeders, D., </w:t>
      </w:r>
      <w:r w:rsidRPr="008318E1">
        <w:rPr>
          <w:rFonts w:cstheme="minorHAnsi"/>
          <w:i/>
        </w:rPr>
        <w:t>Competition and Collaboration between Service Providers in the NDIS</w:t>
      </w:r>
      <w:r w:rsidRPr="008318E1">
        <w:rPr>
          <w:rFonts w:cstheme="minorHAnsi"/>
        </w:rPr>
        <w:t>, 2018</w:t>
      </w:r>
      <w:r>
        <w:rPr>
          <w:rFonts w:cstheme="minorHAnsi"/>
        </w:rPr>
        <w:t xml:space="preserve">, </w:t>
      </w:r>
      <w:r w:rsidRPr="008318E1">
        <w:rPr>
          <w:rFonts w:cstheme="minorHAnsi"/>
        </w:rPr>
        <w:t>p</w:t>
      </w:r>
      <w:r>
        <w:rPr>
          <w:rFonts w:cstheme="minorHAnsi"/>
        </w:rPr>
        <w:t>p</w:t>
      </w:r>
      <w:r w:rsidRPr="008318E1">
        <w:rPr>
          <w:rFonts w:cstheme="minorHAnsi"/>
        </w:rPr>
        <w:t>. 14</w:t>
      </w:r>
      <w:r>
        <w:rPr>
          <w:rFonts w:cstheme="minorHAnsi"/>
        </w:rPr>
        <w:t>.</w:t>
      </w:r>
    </w:p>
  </w:endnote>
  <w:endnote w:id="11">
    <w:p w14:paraId="6D4339DD" w14:textId="77777777" w:rsidR="00C53CA3" w:rsidRPr="008318E1" w:rsidRDefault="00C53CA3" w:rsidP="00857915">
      <w:pPr>
        <w:pStyle w:val="EndnoteText"/>
        <w:rPr>
          <w:rFonts w:cstheme="minorHAnsi"/>
        </w:rPr>
      </w:pPr>
      <w:r w:rsidRPr="008318E1">
        <w:rPr>
          <w:rStyle w:val="EndnoteReference"/>
          <w:rFonts w:cstheme="minorHAnsi"/>
        </w:rPr>
        <w:endnoteRef/>
      </w:r>
      <w:r w:rsidRPr="008318E1">
        <w:rPr>
          <w:rFonts w:cstheme="minorHAnsi"/>
        </w:rPr>
        <w:t xml:space="preserve"> Submission 280 to the NDIS Review’s </w:t>
      </w:r>
      <w:r w:rsidRPr="008318E1">
        <w:rPr>
          <w:rFonts w:cstheme="minorHAnsi"/>
          <w:i/>
        </w:rPr>
        <w:t>Have your say</w:t>
      </w:r>
      <w:r w:rsidRPr="008318E1">
        <w:rPr>
          <w:rFonts w:cstheme="minorHAnsi"/>
        </w:rPr>
        <w:t xml:space="preserve"> survey</w:t>
      </w:r>
      <w:r>
        <w:rPr>
          <w:rFonts w:cstheme="minorHAnsi"/>
        </w:rPr>
        <w:t>.</w:t>
      </w:r>
    </w:p>
  </w:endnote>
  <w:endnote w:id="12">
    <w:p w14:paraId="470FCBD8" w14:textId="77777777" w:rsidR="00C53CA3" w:rsidRPr="008318E1" w:rsidRDefault="00C53CA3" w:rsidP="00857915">
      <w:pPr>
        <w:pStyle w:val="EndnoteText"/>
        <w:rPr>
          <w:rFonts w:cstheme="minorHAnsi"/>
        </w:rPr>
      </w:pPr>
      <w:r w:rsidRPr="008318E1">
        <w:rPr>
          <w:rStyle w:val="EndnoteReference"/>
          <w:rFonts w:cstheme="minorHAnsi"/>
        </w:rPr>
        <w:endnoteRef/>
      </w:r>
      <w:r>
        <w:rPr>
          <w:rFonts w:cstheme="minorHAnsi"/>
        </w:rPr>
        <w:t xml:space="preserve"> </w:t>
      </w:r>
      <w:r w:rsidRPr="00B62515">
        <w:rPr>
          <w:rFonts w:cstheme="minorHAnsi"/>
        </w:rPr>
        <w:t>Joint Standing Committee on the National Disability Insurance Scheme</w:t>
      </w:r>
      <w:r w:rsidRPr="008318E1">
        <w:rPr>
          <w:rFonts w:cstheme="minorHAnsi"/>
        </w:rPr>
        <w:t xml:space="preserve">, </w:t>
      </w:r>
      <w:r w:rsidRPr="008318E1">
        <w:rPr>
          <w:rFonts w:cstheme="minorHAnsi"/>
          <w:i/>
        </w:rPr>
        <w:t>NDIS ICT Systems</w:t>
      </w:r>
      <w:r>
        <w:rPr>
          <w:rFonts w:cstheme="minorHAnsi"/>
        </w:rPr>
        <w:t xml:space="preserve"> - </w:t>
      </w:r>
      <w:r w:rsidRPr="00BF5493">
        <w:rPr>
          <w:rFonts w:cstheme="minorHAnsi"/>
          <w:i/>
        </w:rPr>
        <w:t>Final Report</w:t>
      </w:r>
      <w:r w:rsidRPr="008318E1">
        <w:rPr>
          <w:rFonts w:cstheme="minorHAnsi"/>
        </w:rPr>
        <w:t xml:space="preserve">, </w:t>
      </w:r>
      <w:r>
        <w:rPr>
          <w:rFonts w:eastAsia="Calibri"/>
          <w:lang w:val="en-US"/>
        </w:rPr>
        <w:t xml:space="preserve">Parliament of Australia, </w:t>
      </w:r>
      <w:r w:rsidRPr="008318E1">
        <w:rPr>
          <w:rFonts w:cstheme="minorHAnsi"/>
        </w:rPr>
        <w:t>2018b</w:t>
      </w:r>
      <w:r>
        <w:rPr>
          <w:rFonts w:cstheme="minorHAnsi"/>
        </w:rPr>
        <w:t>,</w:t>
      </w:r>
      <w:r w:rsidRPr="008318E1">
        <w:rPr>
          <w:rFonts w:cstheme="minorHAnsi"/>
        </w:rPr>
        <w:t xml:space="preserve"> pp.</w:t>
      </w:r>
      <w:r>
        <w:rPr>
          <w:rFonts w:cstheme="minorHAnsi"/>
        </w:rPr>
        <w:t xml:space="preserve"> </w:t>
      </w:r>
      <w:r w:rsidRPr="008318E1">
        <w:rPr>
          <w:rFonts w:cstheme="minorHAnsi"/>
        </w:rPr>
        <w:t xml:space="preserve">5-6; </w:t>
      </w:r>
      <w:r w:rsidRPr="00B62515">
        <w:rPr>
          <w:rFonts w:cstheme="minorHAnsi"/>
        </w:rPr>
        <w:t>Joint Standing Committee on the National Disability Insurance Scheme</w:t>
      </w:r>
      <w:r w:rsidRPr="008318E1">
        <w:rPr>
          <w:rFonts w:cstheme="minorHAnsi"/>
        </w:rPr>
        <w:t xml:space="preserve">, </w:t>
      </w:r>
      <w:r w:rsidRPr="008318E1">
        <w:rPr>
          <w:rFonts w:cstheme="minorHAnsi"/>
          <w:i/>
        </w:rPr>
        <w:t>General issues around the implementation and performance of the NDIS</w:t>
      </w:r>
      <w:r w:rsidRPr="00BF5493">
        <w:rPr>
          <w:rFonts w:cstheme="minorHAnsi"/>
          <w:i/>
        </w:rPr>
        <w:t xml:space="preserve"> </w:t>
      </w:r>
      <w:r>
        <w:rPr>
          <w:rFonts w:cstheme="minorHAnsi"/>
          <w:i/>
        </w:rPr>
        <w:t>- Progress</w:t>
      </w:r>
      <w:r w:rsidRPr="00BF5493">
        <w:rPr>
          <w:rFonts w:cstheme="minorHAnsi"/>
          <w:i/>
        </w:rPr>
        <w:t xml:space="preserve"> Report</w:t>
      </w:r>
      <w:r w:rsidRPr="008318E1">
        <w:rPr>
          <w:rFonts w:cstheme="minorHAnsi"/>
        </w:rPr>
        <w:t xml:space="preserve">, </w:t>
      </w:r>
      <w:r>
        <w:rPr>
          <w:rFonts w:eastAsia="Calibri"/>
          <w:lang w:val="en-US"/>
        </w:rPr>
        <w:t xml:space="preserve">Parliament of Australia, </w:t>
      </w:r>
      <w:r w:rsidRPr="008318E1">
        <w:rPr>
          <w:rFonts w:cstheme="minorHAnsi"/>
        </w:rPr>
        <w:t>2019</w:t>
      </w:r>
      <w:r>
        <w:rPr>
          <w:rFonts w:cstheme="minorHAnsi"/>
        </w:rPr>
        <w:t xml:space="preserve">, </w:t>
      </w:r>
      <w:r w:rsidRPr="008318E1">
        <w:rPr>
          <w:rFonts w:cstheme="minorHAnsi"/>
        </w:rPr>
        <w:t>pp.</w:t>
      </w:r>
      <w:r>
        <w:rPr>
          <w:rFonts w:cstheme="minorHAnsi"/>
        </w:rPr>
        <w:t xml:space="preserve"> </w:t>
      </w:r>
      <w:r w:rsidRPr="008318E1">
        <w:rPr>
          <w:rFonts w:cstheme="minorHAnsi"/>
        </w:rPr>
        <w:t xml:space="preserve">62-64; Queensland Productivity Commission, </w:t>
      </w:r>
      <w:r w:rsidRPr="008318E1">
        <w:rPr>
          <w:rFonts w:cstheme="minorHAnsi"/>
          <w:i/>
        </w:rPr>
        <w:t xml:space="preserve">The NDIS Market in </w:t>
      </w:r>
      <w:r w:rsidRPr="0064314F">
        <w:rPr>
          <w:rFonts w:cstheme="minorHAnsi"/>
          <w:i/>
        </w:rPr>
        <w:t>Queensland</w:t>
      </w:r>
      <w:r w:rsidRPr="00BF5493">
        <w:rPr>
          <w:rFonts w:cstheme="minorHAnsi"/>
          <w:i/>
        </w:rPr>
        <w:t xml:space="preserve"> - Final Report</w:t>
      </w:r>
      <w:r w:rsidRPr="008318E1">
        <w:rPr>
          <w:rFonts w:cstheme="minorHAnsi"/>
        </w:rPr>
        <w:t>, 2021</w:t>
      </w:r>
      <w:r>
        <w:rPr>
          <w:rFonts w:cstheme="minorHAnsi"/>
        </w:rPr>
        <w:t xml:space="preserve">, </w:t>
      </w:r>
      <w:r w:rsidRPr="008318E1">
        <w:rPr>
          <w:rFonts w:cstheme="minorHAnsi"/>
        </w:rPr>
        <w:t>pp.</w:t>
      </w:r>
      <w:r>
        <w:rPr>
          <w:rFonts w:cstheme="minorHAnsi"/>
        </w:rPr>
        <w:t xml:space="preserve"> </w:t>
      </w:r>
      <w:r w:rsidRPr="008318E1">
        <w:rPr>
          <w:rFonts w:cstheme="minorHAnsi"/>
        </w:rPr>
        <w:t>247</w:t>
      </w:r>
      <w:r>
        <w:rPr>
          <w:rFonts w:cstheme="minorHAnsi"/>
        </w:rPr>
        <w:t>.</w:t>
      </w:r>
    </w:p>
  </w:endnote>
  <w:endnote w:id="13">
    <w:p w14:paraId="440C0159" w14:textId="77777777" w:rsidR="00C53CA3" w:rsidRPr="008318E1" w:rsidRDefault="00C53CA3" w:rsidP="00857915">
      <w:pPr>
        <w:pStyle w:val="EndnoteText"/>
        <w:rPr>
          <w:rFonts w:cstheme="minorHAnsi"/>
        </w:rPr>
      </w:pPr>
      <w:r w:rsidRPr="008318E1">
        <w:rPr>
          <w:rStyle w:val="EndnoteReference"/>
          <w:rFonts w:cstheme="minorHAnsi"/>
        </w:rPr>
        <w:endnoteRef/>
      </w:r>
      <w:r w:rsidRPr="008318E1">
        <w:rPr>
          <w:rFonts w:cstheme="minorHAnsi"/>
        </w:rPr>
        <w:t xml:space="preserve"> Submissions</w:t>
      </w:r>
      <w:r w:rsidRPr="008318E1" w:rsidDel="00C32721">
        <w:rPr>
          <w:rFonts w:cstheme="minorHAnsi"/>
        </w:rPr>
        <w:t xml:space="preserve"> </w:t>
      </w:r>
      <w:r w:rsidRPr="008318E1">
        <w:rPr>
          <w:rFonts w:cstheme="minorHAnsi"/>
        </w:rPr>
        <w:t>922 and 103</w:t>
      </w:r>
      <w:r>
        <w:rPr>
          <w:rFonts w:cstheme="minorHAnsi"/>
        </w:rPr>
        <w:t>9</w:t>
      </w:r>
      <w:r w:rsidRPr="008318E1">
        <w:rPr>
          <w:rFonts w:cstheme="minorHAnsi"/>
        </w:rPr>
        <w:t xml:space="preserve"> to the NDIS Review’s </w:t>
      </w:r>
      <w:r w:rsidRPr="008318E1">
        <w:rPr>
          <w:rFonts w:cstheme="minorHAnsi"/>
          <w:i/>
        </w:rPr>
        <w:t>Have your say</w:t>
      </w:r>
      <w:r w:rsidRPr="008318E1">
        <w:rPr>
          <w:rFonts w:cstheme="minorHAnsi"/>
        </w:rPr>
        <w:t xml:space="preserve"> survey</w:t>
      </w:r>
      <w:r>
        <w:rPr>
          <w:rFonts w:cstheme="minorHAnsi"/>
        </w:rPr>
        <w:t>.</w:t>
      </w:r>
    </w:p>
  </w:endnote>
  <w:endnote w:id="14">
    <w:p w14:paraId="1B9C920B" w14:textId="77777777" w:rsidR="00C53CA3" w:rsidRPr="008318E1" w:rsidRDefault="00C53CA3" w:rsidP="00BC0D7A">
      <w:pPr>
        <w:pStyle w:val="EndnoteText"/>
        <w:rPr>
          <w:rFonts w:cstheme="minorHAnsi"/>
        </w:rPr>
      </w:pPr>
      <w:r w:rsidRPr="008318E1">
        <w:rPr>
          <w:rStyle w:val="EndnoteReference"/>
          <w:rFonts w:cstheme="minorHAnsi"/>
        </w:rPr>
        <w:endnoteRef/>
      </w:r>
      <w:r w:rsidRPr="008318E1">
        <w:rPr>
          <w:rFonts w:cstheme="minorHAnsi"/>
        </w:rPr>
        <w:t xml:space="preserve"> </w:t>
      </w:r>
      <w:r w:rsidRPr="003E2527">
        <w:t xml:space="preserve">National Disability Insurance Agency </w:t>
      </w:r>
      <w:r>
        <w:t>(</w:t>
      </w:r>
      <w:r w:rsidRPr="003E2527">
        <w:t>NDIA</w:t>
      </w:r>
      <w:r>
        <w:t>)</w:t>
      </w:r>
      <w:r w:rsidRPr="008318E1">
        <w:rPr>
          <w:rFonts w:cstheme="minorHAnsi"/>
        </w:rPr>
        <w:t xml:space="preserve">, </w:t>
      </w:r>
      <w:r w:rsidRPr="008318E1">
        <w:rPr>
          <w:rFonts w:cstheme="minorHAnsi"/>
          <w:i/>
        </w:rPr>
        <w:t>Quarterly report to Disability Reform Ministers for quarter 2 of Year 10</w:t>
      </w:r>
      <w:r>
        <w:rPr>
          <w:rFonts w:cstheme="minorHAnsi"/>
          <w:i/>
        </w:rPr>
        <w:t xml:space="preserve"> </w:t>
      </w:r>
      <w:r w:rsidRPr="008318E1">
        <w:rPr>
          <w:rFonts w:cstheme="minorHAnsi"/>
          <w:i/>
        </w:rPr>
        <w:t>– Full Report</w:t>
      </w:r>
      <w:r w:rsidRPr="008318E1">
        <w:rPr>
          <w:rFonts w:cstheme="minorHAnsi"/>
        </w:rPr>
        <w:t>, 2023a</w:t>
      </w:r>
      <w:r>
        <w:rPr>
          <w:rFonts w:cstheme="minorHAnsi"/>
        </w:rPr>
        <w:t>,</w:t>
      </w:r>
      <w:r w:rsidRPr="008318E1">
        <w:rPr>
          <w:rFonts w:cstheme="minorHAnsi"/>
        </w:rPr>
        <w:t xml:space="preserve"> pp.</w:t>
      </w:r>
      <w:r>
        <w:rPr>
          <w:rFonts w:cstheme="minorHAnsi"/>
        </w:rPr>
        <w:t xml:space="preserve"> </w:t>
      </w:r>
      <w:r w:rsidRPr="008318E1">
        <w:rPr>
          <w:rFonts w:cstheme="minorHAnsi"/>
        </w:rPr>
        <w:t>90</w:t>
      </w:r>
      <w:r>
        <w:rPr>
          <w:rFonts w:cstheme="minorHAnsi"/>
        </w:rPr>
        <w:t>.</w:t>
      </w:r>
    </w:p>
  </w:endnote>
  <w:endnote w:id="15">
    <w:p w14:paraId="609B7A40" w14:textId="77777777" w:rsidR="00C53CA3" w:rsidRPr="008318E1" w:rsidRDefault="00C53CA3" w:rsidP="00994634">
      <w:pPr>
        <w:pStyle w:val="EndnoteText"/>
        <w:rPr>
          <w:rFonts w:cstheme="minorHAnsi"/>
        </w:rPr>
      </w:pPr>
      <w:r>
        <w:rPr>
          <w:rStyle w:val="EndnoteReference"/>
        </w:rPr>
        <w:endnoteRef/>
      </w:r>
      <w:r>
        <w:t xml:space="preserve"> </w:t>
      </w:r>
      <w:r w:rsidRPr="003E2527">
        <w:t xml:space="preserve">National Disability Insurance Agency </w:t>
      </w:r>
      <w:r>
        <w:t>(</w:t>
      </w:r>
      <w:r w:rsidRPr="003E2527">
        <w:t>NDIA</w:t>
      </w:r>
      <w:r>
        <w:t>)</w:t>
      </w:r>
      <w:r w:rsidRPr="008318E1">
        <w:rPr>
          <w:rFonts w:cstheme="minorHAnsi"/>
        </w:rPr>
        <w:t xml:space="preserve">, </w:t>
      </w:r>
      <w:r w:rsidRPr="008318E1">
        <w:rPr>
          <w:rFonts w:cstheme="minorHAnsi"/>
          <w:i/>
        </w:rPr>
        <w:t>NDIS Quarterly Report to Disability Ministers – Appendix E Supplement 2022-23 Q2</w:t>
      </w:r>
      <w:r>
        <w:rPr>
          <w:rFonts w:cstheme="minorHAnsi"/>
        </w:rPr>
        <w:t xml:space="preserve">, </w:t>
      </w:r>
      <w:r w:rsidRPr="008318E1">
        <w:rPr>
          <w:rFonts w:cstheme="minorHAnsi"/>
        </w:rPr>
        <w:t>2023b</w:t>
      </w:r>
      <w:r>
        <w:rPr>
          <w:rFonts w:cstheme="minorHAnsi"/>
        </w:rPr>
        <w:t xml:space="preserve">, Table E.111; </w:t>
      </w:r>
      <w:r w:rsidRPr="003E2527">
        <w:t xml:space="preserve">National Disability Insurance Agency </w:t>
      </w:r>
      <w:r>
        <w:t>(</w:t>
      </w:r>
      <w:r w:rsidRPr="003E2527">
        <w:t>NDIA</w:t>
      </w:r>
      <w:r>
        <w:t>)</w:t>
      </w:r>
      <w:r w:rsidRPr="008318E1">
        <w:rPr>
          <w:rFonts w:cstheme="minorHAnsi"/>
        </w:rPr>
        <w:t xml:space="preserve">, </w:t>
      </w:r>
      <w:r w:rsidRPr="008318E1">
        <w:rPr>
          <w:rFonts w:cstheme="minorHAnsi"/>
          <w:i/>
        </w:rPr>
        <w:t xml:space="preserve">NDIS Quarterly Report to Disability Ministers – Appendix </w:t>
      </w:r>
      <w:r>
        <w:rPr>
          <w:rFonts w:cstheme="minorHAnsi"/>
          <w:i/>
        </w:rPr>
        <w:t>N</w:t>
      </w:r>
      <w:r w:rsidRPr="008318E1">
        <w:rPr>
          <w:rFonts w:cstheme="minorHAnsi"/>
          <w:i/>
        </w:rPr>
        <w:t xml:space="preserve"> Supplement 2022-23 Q2</w:t>
      </w:r>
      <w:r>
        <w:rPr>
          <w:rFonts w:cstheme="minorHAnsi"/>
        </w:rPr>
        <w:t xml:space="preserve">, </w:t>
      </w:r>
      <w:r w:rsidRPr="008318E1">
        <w:rPr>
          <w:rFonts w:cstheme="minorHAnsi"/>
        </w:rPr>
        <w:t>2023b</w:t>
      </w:r>
      <w:r>
        <w:rPr>
          <w:rFonts w:cstheme="minorHAnsi"/>
        </w:rPr>
        <w:t>, Table 26</w:t>
      </w:r>
      <w:r>
        <w:rPr>
          <w:rFonts w:cstheme="minorHAnsi"/>
          <w:i/>
        </w:rPr>
        <w:t>.</w:t>
      </w:r>
    </w:p>
  </w:endnote>
  <w:endnote w:id="16">
    <w:p w14:paraId="47ADC350" w14:textId="77777777" w:rsidR="00C53CA3" w:rsidRPr="008318E1" w:rsidRDefault="00C53CA3" w:rsidP="00994634">
      <w:pPr>
        <w:pStyle w:val="EndnoteText"/>
        <w:rPr>
          <w:rFonts w:cstheme="minorHAnsi"/>
        </w:rPr>
      </w:pPr>
      <w:r w:rsidRPr="008318E1">
        <w:rPr>
          <w:rStyle w:val="EndnoteReference"/>
          <w:rFonts w:cstheme="minorHAnsi"/>
        </w:rPr>
        <w:endnoteRef/>
      </w:r>
      <w:r w:rsidRPr="008318E1">
        <w:rPr>
          <w:rFonts w:cstheme="minorHAnsi"/>
        </w:rPr>
        <w:t xml:space="preserve"> Department of Social Services (DSS), </w:t>
      </w:r>
      <w:r w:rsidRPr="008318E1">
        <w:rPr>
          <w:rFonts w:cstheme="minorHAnsi"/>
          <w:i/>
        </w:rPr>
        <w:t>NDIS Demand Map</w:t>
      </w:r>
      <w:r w:rsidRPr="008318E1">
        <w:rPr>
          <w:rFonts w:cstheme="minorHAnsi"/>
        </w:rPr>
        <w:t>, 2019</w:t>
      </w:r>
      <w:r>
        <w:rPr>
          <w:rFonts w:cstheme="minorHAnsi"/>
        </w:rPr>
        <w:t xml:space="preserve">, </w:t>
      </w:r>
      <w:r w:rsidRPr="008318E1">
        <w:rPr>
          <w:rFonts w:cstheme="minorHAnsi"/>
        </w:rPr>
        <w:t>last updated March 2019</w:t>
      </w:r>
      <w:r>
        <w:rPr>
          <w:rFonts w:cstheme="minorHAnsi"/>
        </w:rPr>
        <w:t xml:space="preserve">. </w:t>
      </w:r>
      <w:hyperlink r:id="rId2" w:history="1">
        <w:r w:rsidRPr="00BF5493">
          <w:rPr>
            <w:rStyle w:val="Hyperlink"/>
            <w:rFonts w:asciiTheme="minorHAnsi" w:hAnsiTheme="minorHAnsi"/>
            <w:sz w:val="20"/>
          </w:rPr>
          <w:t>https://blcw.dss.gov.au/ndis-demand-map</w:t>
        </w:r>
      </w:hyperlink>
    </w:p>
  </w:endnote>
  <w:endnote w:id="17">
    <w:p w14:paraId="702ABAA3" w14:textId="77777777" w:rsidR="00C53CA3" w:rsidRPr="008318E1" w:rsidRDefault="00C53CA3" w:rsidP="00994634">
      <w:pPr>
        <w:pStyle w:val="EndnoteText"/>
        <w:rPr>
          <w:rFonts w:cstheme="minorHAnsi"/>
        </w:rPr>
      </w:pPr>
      <w:r w:rsidRPr="008318E1">
        <w:rPr>
          <w:rStyle w:val="EndnoteReference"/>
          <w:rFonts w:cstheme="minorHAnsi"/>
        </w:rPr>
        <w:endnoteRef/>
      </w:r>
      <w:r w:rsidRPr="008318E1">
        <w:rPr>
          <w:rFonts w:cstheme="minorHAnsi"/>
        </w:rPr>
        <w:t xml:space="preserve"> </w:t>
      </w:r>
      <w:r w:rsidRPr="003E2527">
        <w:t xml:space="preserve">National Disability Insurance Agency </w:t>
      </w:r>
      <w:r>
        <w:t>(</w:t>
      </w:r>
      <w:r w:rsidRPr="003E2527">
        <w:t>NDIA</w:t>
      </w:r>
      <w:r>
        <w:t>)</w:t>
      </w:r>
      <w:r w:rsidRPr="008318E1">
        <w:rPr>
          <w:rFonts w:cstheme="minorHAnsi"/>
        </w:rPr>
        <w:t xml:space="preserve">, </w:t>
      </w:r>
      <w:r w:rsidRPr="008318E1">
        <w:rPr>
          <w:rFonts w:cstheme="minorHAnsi"/>
          <w:i/>
        </w:rPr>
        <w:t>NDIS Market monitoring</w:t>
      </w:r>
      <w:r w:rsidRPr="008318E1">
        <w:rPr>
          <w:rFonts w:cstheme="minorHAnsi"/>
        </w:rPr>
        <w:t>, 2022a</w:t>
      </w:r>
      <w:r>
        <w:rPr>
          <w:rFonts w:cstheme="minorHAnsi"/>
        </w:rPr>
        <w:t>,</w:t>
      </w:r>
      <w:r w:rsidRPr="008318E1">
        <w:rPr>
          <w:rFonts w:cstheme="minorHAnsi"/>
        </w:rPr>
        <w:t xml:space="preserve"> last updated 4 October 2022</w:t>
      </w:r>
      <w:r>
        <w:rPr>
          <w:rFonts w:cstheme="minorHAnsi"/>
        </w:rPr>
        <w:t xml:space="preserve">. </w:t>
      </w:r>
      <w:hyperlink r:id="rId3" w:history="1">
        <w:r w:rsidRPr="00BF5493">
          <w:rPr>
            <w:rStyle w:val="Hyperlink"/>
            <w:rFonts w:asciiTheme="minorHAnsi" w:hAnsiTheme="minorHAnsi"/>
            <w:sz w:val="20"/>
          </w:rPr>
          <w:t>https://data.ndis.gov.au/reports-and-analyses/market-monitoring</w:t>
        </w:r>
      </w:hyperlink>
    </w:p>
  </w:endnote>
  <w:endnote w:id="18">
    <w:p w14:paraId="3246F29B" w14:textId="77777777" w:rsidR="00C53CA3" w:rsidRPr="008318E1" w:rsidRDefault="00C53CA3" w:rsidP="00994634">
      <w:pPr>
        <w:pStyle w:val="EndnoteText"/>
        <w:rPr>
          <w:rFonts w:cstheme="minorHAnsi"/>
        </w:rPr>
      </w:pPr>
      <w:r w:rsidRPr="008318E1">
        <w:rPr>
          <w:rStyle w:val="EndnoteReference"/>
          <w:rFonts w:cstheme="minorHAnsi"/>
        </w:rPr>
        <w:endnoteRef/>
      </w:r>
      <w:r w:rsidRPr="008318E1">
        <w:rPr>
          <w:rFonts w:cstheme="minorHAnsi"/>
        </w:rPr>
        <w:t xml:space="preserve"> </w:t>
      </w:r>
      <w:r w:rsidRPr="008318E1">
        <w:rPr>
          <w:rFonts w:eastAsia="Times New Roman" w:cstheme="minorHAnsi"/>
          <w:lang w:eastAsia="en-AU"/>
        </w:rPr>
        <w:t>Submission 162 to the NDIS Review’s</w:t>
      </w:r>
      <w:r w:rsidRPr="008318E1">
        <w:rPr>
          <w:rFonts w:cstheme="minorHAnsi"/>
          <w:i/>
        </w:rPr>
        <w:t xml:space="preserve"> Have your say</w:t>
      </w:r>
      <w:r w:rsidRPr="008318E1">
        <w:rPr>
          <w:rFonts w:cstheme="minorHAnsi"/>
        </w:rPr>
        <w:t xml:space="preserve"> survey</w:t>
      </w:r>
      <w:r>
        <w:rPr>
          <w:rFonts w:cstheme="minorHAnsi"/>
        </w:rPr>
        <w:t>.</w:t>
      </w:r>
    </w:p>
  </w:endnote>
  <w:endnote w:id="19">
    <w:p w14:paraId="66D5F3A8" w14:textId="77777777" w:rsidR="00C53CA3" w:rsidRPr="000A4243" w:rsidRDefault="00C53CA3" w:rsidP="00994634">
      <w:pPr>
        <w:pStyle w:val="EndnoteText"/>
      </w:pPr>
      <w:r>
        <w:rPr>
          <w:rStyle w:val="EndnoteReference"/>
        </w:rPr>
        <w:endnoteRef/>
      </w:r>
      <w:r>
        <w:t xml:space="preserve"> </w:t>
      </w:r>
      <w:r w:rsidRPr="003E2527">
        <w:t xml:space="preserve">National Disability Insurance Agency </w:t>
      </w:r>
      <w:r>
        <w:t>(</w:t>
      </w:r>
      <w:r w:rsidRPr="003E2527">
        <w:t>NDIA</w:t>
      </w:r>
      <w:r>
        <w:t xml:space="preserve">), </w:t>
      </w:r>
      <w:r>
        <w:rPr>
          <w:i/>
        </w:rPr>
        <w:t>NDIS Guide to Plan Management</w:t>
      </w:r>
      <w:r>
        <w:t>, 2020, pp. 14.</w:t>
      </w:r>
    </w:p>
  </w:endnote>
  <w:endnote w:id="20">
    <w:p w14:paraId="38F15B95" w14:textId="77777777" w:rsidR="00C53CA3" w:rsidRPr="008318E1" w:rsidRDefault="00C53CA3" w:rsidP="00994634">
      <w:pPr>
        <w:pStyle w:val="EndnoteText"/>
        <w:rPr>
          <w:rFonts w:cstheme="minorHAnsi"/>
        </w:rPr>
      </w:pPr>
      <w:r w:rsidRPr="008318E1">
        <w:rPr>
          <w:rStyle w:val="EndnoteReference"/>
          <w:rFonts w:cstheme="minorHAnsi"/>
        </w:rPr>
        <w:endnoteRef/>
      </w:r>
      <w:r w:rsidRPr="008318E1">
        <w:rPr>
          <w:rFonts w:cstheme="minorHAnsi"/>
        </w:rPr>
        <w:t xml:space="preserve"> Submission 727 to the NDIS Review’s </w:t>
      </w:r>
      <w:r w:rsidRPr="008318E1">
        <w:rPr>
          <w:rFonts w:cstheme="minorHAnsi"/>
          <w:i/>
        </w:rPr>
        <w:t>Have your say</w:t>
      </w:r>
      <w:r w:rsidRPr="008318E1">
        <w:rPr>
          <w:rFonts w:cstheme="minorHAnsi"/>
        </w:rPr>
        <w:t xml:space="preserve"> survey</w:t>
      </w:r>
      <w:r>
        <w:rPr>
          <w:rFonts w:cstheme="minorHAnsi"/>
        </w:rPr>
        <w:t>.</w:t>
      </w:r>
    </w:p>
  </w:endnote>
  <w:endnote w:id="21">
    <w:p w14:paraId="1E533E05" w14:textId="77777777" w:rsidR="00C53CA3" w:rsidRPr="008318E1" w:rsidRDefault="00C53CA3" w:rsidP="00994634">
      <w:pPr>
        <w:pStyle w:val="EndnoteText"/>
        <w:rPr>
          <w:rFonts w:cstheme="minorHAnsi"/>
        </w:rPr>
      </w:pPr>
      <w:r w:rsidRPr="008318E1">
        <w:rPr>
          <w:rStyle w:val="EndnoteReference"/>
          <w:rFonts w:cstheme="minorHAnsi"/>
        </w:rPr>
        <w:endnoteRef/>
      </w:r>
      <w:r w:rsidRPr="008318E1">
        <w:rPr>
          <w:rFonts w:cstheme="minorHAnsi"/>
        </w:rPr>
        <w:t xml:space="preserve"> Queensland Productivity Commission </w:t>
      </w:r>
      <w:r>
        <w:rPr>
          <w:rFonts w:cstheme="minorHAnsi"/>
        </w:rPr>
        <w:t>(</w:t>
      </w:r>
      <w:r w:rsidRPr="008318E1">
        <w:rPr>
          <w:rFonts w:cstheme="minorHAnsi"/>
        </w:rPr>
        <w:t>QPC</w:t>
      </w:r>
      <w:r>
        <w:rPr>
          <w:rFonts w:cstheme="minorHAnsi"/>
        </w:rPr>
        <w:t>),</w:t>
      </w:r>
      <w:r w:rsidRPr="008318E1">
        <w:rPr>
          <w:rFonts w:cstheme="minorHAnsi"/>
        </w:rPr>
        <w:t xml:space="preserve"> 2021, pp.</w:t>
      </w:r>
      <w:r>
        <w:rPr>
          <w:rFonts w:cstheme="minorHAnsi"/>
        </w:rPr>
        <w:t xml:space="preserve"> </w:t>
      </w:r>
      <w:r w:rsidRPr="008318E1">
        <w:rPr>
          <w:rFonts w:cstheme="minorHAnsi"/>
        </w:rPr>
        <w:t>252-257</w:t>
      </w:r>
      <w:r>
        <w:rPr>
          <w:rFonts w:cstheme="minorHAnsi"/>
        </w:rPr>
        <w:t>.</w:t>
      </w:r>
    </w:p>
  </w:endnote>
  <w:endnote w:id="22">
    <w:p w14:paraId="7A7F05F4" w14:textId="77777777" w:rsidR="00C53CA3" w:rsidRPr="008318E1" w:rsidRDefault="00C53CA3" w:rsidP="00994634">
      <w:pPr>
        <w:pStyle w:val="EndnoteText"/>
        <w:rPr>
          <w:rFonts w:cstheme="minorHAnsi"/>
        </w:rPr>
      </w:pPr>
      <w:r w:rsidRPr="008318E1">
        <w:rPr>
          <w:rStyle w:val="EndnoteReference"/>
          <w:rFonts w:cstheme="minorHAnsi"/>
        </w:rPr>
        <w:endnoteRef/>
      </w:r>
      <w:r w:rsidRPr="008318E1">
        <w:rPr>
          <w:rFonts w:cstheme="minorHAnsi"/>
        </w:rPr>
        <w:t xml:space="preserve"> Submission 332 to the NDIS Review’s </w:t>
      </w:r>
      <w:r w:rsidRPr="008318E1">
        <w:rPr>
          <w:rFonts w:cstheme="minorHAnsi"/>
          <w:i/>
        </w:rPr>
        <w:t>Have your say</w:t>
      </w:r>
      <w:r w:rsidRPr="008318E1">
        <w:rPr>
          <w:rFonts w:cstheme="minorHAnsi"/>
        </w:rPr>
        <w:t xml:space="preserve"> survey</w:t>
      </w:r>
      <w:r>
        <w:rPr>
          <w:rFonts w:cstheme="minorHAnsi"/>
        </w:rPr>
        <w:t>.</w:t>
      </w:r>
    </w:p>
  </w:endnote>
  <w:endnote w:id="23">
    <w:p w14:paraId="76144E0F" w14:textId="77777777" w:rsidR="00C53CA3" w:rsidRPr="008318E1" w:rsidRDefault="00C53CA3" w:rsidP="00994634">
      <w:pPr>
        <w:pStyle w:val="EndnoteText"/>
        <w:rPr>
          <w:rFonts w:cstheme="minorHAnsi"/>
        </w:rPr>
      </w:pPr>
      <w:r w:rsidRPr="008318E1">
        <w:rPr>
          <w:rStyle w:val="EndnoteReference"/>
          <w:rFonts w:cstheme="minorHAnsi"/>
        </w:rPr>
        <w:endnoteRef/>
      </w:r>
      <w:r w:rsidRPr="008318E1">
        <w:rPr>
          <w:rFonts w:cstheme="minorHAnsi"/>
        </w:rPr>
        <w:t xml:space="preserve"> </w:t>
      </w:r>
      <w:r w:rsidRPr="003E2527">
        <w:t xml:space="preserve">National Disability Insurance Agency </w:t>
      </w:r>
      <w:r>
        <w:t>(</w:t>
      </w:r>
      <w:r w:rsidRPr="003E2527">
        <w:t>NDIA</w:t>
      </w:r>
      <w:r>
        <w:t>)</w:t>
      </w:r>
      <w:r w:rsidRPr="008318E1">
        <w:rPr>
          <w:rFonts w:cstheme="minorHAnsi"/>
        </w:rPr>
        <w:t xml:space="preserve">, </w:t>
      </w:r>
      <w:r w:rsidRPr="00BF5493">
        <w:rPr>
          <w:rFonts w:cstheme="minorHAnsi"/>
          <w:i/>
        </w:rPr>
        <w:t>Summary: Participant Survey on Self-Management</w:t>
      </w:r>
      <w:r w:rsidRPr="008318E1">
        <w:rPr>
          <w:rFonts w:cstheme="minorHAnsi"/>
        </w:rPr>
        <w:t>, 2022b</w:t>
      </w:r>
      <w:r>
        <w:rPr>
          <w:rFonts w:cstheme="minorHAnsi"/>
        </w:rPr>
        <w:t>,</w:t>
      </w:r>
      <w:r w:rsidRPr="008318E1">
        <w:rPr>
          <w:rFonts w:cstheme="minorHAnsi"/>
        </w:rPr>
        <w:t xml:space="preserve"> pp. 8</w:t>
      </w:r>
      <w:r>
        <w:rPr>
          <w:rFonts w:cstheme="minorHAnsi"/>
        </w:rPr>
        <w:t>.</w:t>
      </w:r>
    </w:p>
  </w:endnote>
  <w:endnote w:id="24">
    <w:p w14:paraId="04038F5D" w14:textId="77777777" w:rsidR="00C53CA3" w:rsidRPr="008318E1" w:rsidRDefault="00C53CA3" w:rsidP="00994634">
      <w:pPr>
        <w:pStyle w:val="EndnoteText"/>
        <w:rPr>
          <w:rFonts w:cstheme="minorHAnsi"/>
        </w:rPr>
      </w:pPr>
      <w:r w:rsidRPr="008318E1">
        <w:rPr>
          <w:rStyle w:val="EndnoteReference"/>
          <w:rFonts w:cstheme="minorHAnsi"/>
        </w:rPr>
        <w:endnoteRef/>
      </w:r>
      <w:r w:rsidRPr="008318E1">
        <w:rPr>
          <w:rFonts w:cstheme="minorHAnsi"/>
        </w:rPr>
        <w:t xml:space="preserve"> </w:t>
      </w:r>
      <w:r w:rsidRPr="003E2527">
        <w:t xml:space="preserve">National Disability Insurance Agency </w:t>
      </w:r>
      <w:r>
        <w:t>(</w:t>
      </w:r>
      <w:r w:rsidRPr="003E2527">
        <w:t>NDIA</w:t>
      </w:r>
      <w:r>
        <w:t>)</w:t>
      </w:r>
      <w:r w:rsidRPr="008318E1">
        <w:rPr>
          <w:rFonts w:cstheme="minorHAnsi"/>
        </w:rPr>
        <w:t xml:space="preserve">, </w:t>
      </w:r>
      <w:r w:rsidRPr="008318E1">
        <w:rPr>
          <w:rFonts w:cstheme="minorHAnsi"/>
          <w:i/>
        </w:rPr>
        <w:t>NDIS Quarterly Report to Disability Ministers – Appendix E Supplement 2022-23 Q2</w:t>
      </w:r>
      <w:r>
        <w:rPr>
          <w:rFonts w:cstheme="minorHAnsi"/>
        </w:rPr>
        <w:t xml:space="preserve">, </w:t>
      </w:r>
      <w:r w:rsidRPr="008318E1">
        <w:rPr>
          <w:rFonts w:cstheme="minorHAnsi"/>
        </w:rPr>
        <w:t>2023b</w:t>
      </w:r>
      <w:r>
        <w:rPr>
          <w:rFonts w:cstheme="minorHAnsi"/>
        </w:rPr>
        <w:t>, Table E.117</w:t>
      </w:r>
      <w:r>
        <w:rPr>
          <w:rFonts w:cstheme="minorHAnsi"/>
          <w:i/>
        </w:rPr>
        <w:t>.</w:t>
      </w:r>
    </w:p>
  </w:endnote>
  <w:endnote w:id="25">
    <w:p w14:paraId="179F8448" w14:textId="77777777" w:rsidR="00C53CA3" w:rsidRPr="008318E1" w:rsidRDefault="00C53CA3" w:rsidP="00994634">
      <w:pPr>
        <w:pStyle w:val="EndnoteText"/>
        <w:rPr>
          <w:rFonts w:cstheme="minorHAnsi"/>
          <w:i/>
        </w:rPr>
      </w:pPr>
      <w:r w:rsidRPr="008318E1">
        <w:rPr>
          <w:rStyle w:val="EndnoteReference"/>
          <w:rFonts w:cstheme="minorHAnsi"/>
        </w:rPr>
        <w:endnoteRef/>
      </w:r>
      <w:r w:rsidRPr="008318E1">
        <w:rPr>
          <w:rFonts w:cstheme="minorHAnsi"/>
        </w:rPr>
        <w:t xml:space="preserve"> Tune, D., </w:t>
      </w:r>
      <w:r w:rsidRPr="00BE1F40">
        <w:rPr>
          <w:rFonts w:cstheme="minorHAnsi"/>
          <w:i/>
        </w:rPr>
        <w:t>Review of the National Disability Insurance Scheme Act 2013</w:t>
      </w:r>
      <w:r>
        <w:rPr>
          <w:rFonts w:cstheme="minorHAnsi"/>
          <w:i/>
        </w:rPr>
        <w:t xml:space="preserve"> -</w:t>
      </w:r>
      <w:r w:rsidRPr="00BE1F40">
        <w:rPr>
          <w:rFonts w:cstheme="minorHAnsi"/>
          <w:i/>
        </w:rPr>
        <w:t xml:space="preserve"> Final Report</w:t>
      </w:r>
      <w:r w:rsidRPr="008318E1">
        <w:rPr>
          <w:rFonts w:cstheme="minorHAnsi"/>
        </w:rPr>
        <w:t>, 2019</w:t>
      </w:r>
      <w:r>
        <w:rPr>
          <w:rFonts w:cstheme="minorHAnsi"/>
        </w:rPr>
        <w:t xml:space="preserve">, </w:t>
      </w:r>
      <w:r w:rsidRPr="008318E1">
        <w:rPr>
          <w:rFonts w:cstheme="minorHAnsi"/>
        </w:rPr>
        <w:t>pp.</w:t>
      </w:r>
      <w:r>
        <w:rPr>
          <w:rFonts w:cstheme="minorHAnsi"/>
        </w:rPr>
        <w:t xml:space="preserve"> </w:t>
      </w:r>
      <w:r w:rsidRPr="008318E1">
        <w:rPr>
          <w:rFonts w:cstheme="minorHAnsi"/>
        </w:rPr>
        <w:t>44</w:t>
      </w:r>
      <w:r>
        <w:rPr>
          <w:rFonts w:cstheme="minorHAnsi"/>
        </w:rPr>
        <w:t>.</w:t>
      </w:r>
    </w:p>
  </w:endnote>
  <w:endnote w:id="26">
    <w:p w14:paraId="5DA2790C" w14:textId="77777777" w:rsidR="00C53CA3" w:rsidRPr="008318E1" w:rsidRDefault="00C53CA3" w:rsidP="00994634">
      <w:pPr>
        <w:pStyle w:val="EndnoteText"/>
        <w:rPr>
          <w:rFonts w:cstheme="minorHAnsi"/>
        </w:rPr>
      </w:pPr>
      <w:r w:rsidRPr="008318E1">
        <w:rPr>
          <w:rStyle w:val="EndnoteReference"/>
          <w:rFonts w:cstheme="minorHAnsi"/>
        </w:rPr>
        <w:endnoteRef/>
      </w:r>
      <w:r w:rsidRPr="008318E1">
        <w:rPr>
          <w:rFonts w:cstheme="minorHAnsi"/>
        </w:rPr>
        <w:t xml:space="preserve"> Submission 302 to the NDIS Review’s </w:t>
      </w:r>
      <w:r w:rsidRPr="008318E1">
        <w:rPr>
          <w:rFonts w:cstheme="minorHAnsi"/>
          <w:i/>
        </w:rPr>
        <w:t>Have your say</w:t>
      </w:r>
      <w:r w:rsidRPr="008318E1">
        <w:rPr>
          <w:rFonts w:cstheme="minorHAnsi"/>
        </w:rPr>
        <w:t xml:space="preserve"> survey</w:t>
      </w:r>
      <w:r>
        <w:rPr>
          <w:rFonts w:cstheme="minorHAnsi"/>
        </w:rPr>
        <w:t>.</w:t>
      </w:r>
    </w:p>
  </w:endnote>
  <w:endnote w:id="27">
    <w:p w14:paraId="3D0AB8B8" w14:textId="77777777" w:rsidR="00C53CA3" w:rsidRPr="00AB2E8C" w:rsidRDefault="00C53CA3" w:rsidP="00994634">
      <w:pPr>
        <w:pStyle w:val="EndnoteText"/>
      </w:pPr>
      <w:r>
        <w:rPr>
          <w:rStyle w:val="EndnoteReference"/>
        </w:rPr>
        <w:endnoteRef/>
      </w:r>
      <w:r>
        <w:t xml:space="preserve"> Tune, D., </w:t>
      </w:r>
      <w:r w:rsidRPr="00F236A4">
        <w:rPr>
          <w:rFonts w:cstheme="minorHAnsi"/>
          <w:i/>
        </w:rPr>
        <w:t>Review of the National Disability Insurance Scheme Act 2013</w:t>
      </w:r>
      <w:r>
        <w:rPr>
          <w:rFonts w:cstheme="minorHAnsi"/>
          <w:i/>
        </w:rPr>
        <w:t xml:space="preserve"> -</w:t>
      </w:r>
      <w:r w:rsidRPr="00F236A4">
        <w:rPr>
          <w:rFonts w:cstheme="minorHAnsi"/>
          <w:i/>
        </w:rPr>
        <w:t xml:space="preserve"> Final Report</w:t>
      </w:r>
      <w:r>
        <w:rPr>
          <w:rFonts w:cstheme="minorHAnsi"/>
          <w:i/>
        </w:rPr>
        <w:t>,</w:t>
      </w:r>
      <w:r>
        <w:t xml:space="preserve"> 2019, pp. 120-121; </w:t>
      </w:r>
      <w:r w:rsidRPr="003E2527">
        <w:t xml:space="preserve">National Disability Insurance Agency </w:t>
      </w:r>
      <w:r>
        <w:t>(</w:t>
      </w:r>
      <w:r w:rsidRPr="003E2527">
        <w:t>NDIA</w:t>
      </w:r>
      <w:r>
        <w:t xml:space="preserve">), </w:t>
      </w:r>
      <w:r>
        <w:rPr>
          <w:i/>
        </w:rPr>
        <w:t xml:space="preserve">Improving Support Coordination for NDIS Participants, </w:t>
      </w:r>
      <w:r>
        <w:t>2021a.</w:t>
      </w:r>
    </w:p>
  </w:endnote>
  <w:endnote w:id="28">
    <w:p w14:paraId="5F5D523E" w14:textId="77777777" w:rsidR="00C53CA3" w:rsidRPr="000713DC" w:rsidRDefault="00C53CA3" w:rsidP="00994634">
      <w:pPr>
        <w:pStyle w:val="EndnoteText"/>
      </w:pPr>
      <w:r>
        <w:rPr>
          <w:rStyle w:val="EndnoteReference"/>
        </w:rPr>
        <w:endnoteRef/>
      </w:r>
      <w:r>
        <w:t xml:space="preserve"> Roberson, A., </w:t>
      </w:r>
      <w:r>
        <w:rPr>
          <w:i/>
        </w:rPr>
        <w:t>Independent review of the adequacy of the regulation of the supports and services provided to Ms Ann-Marie Smith, an NDIS participant, who died on April 2020</w:t>
      </w:r>
      <w:r w:rsidRPr="00BF5493">
        <w:t>,</w:t>
      </w:r>
      <w:r>
        <w:t xml:space="preserve"> </w:t>
      </w:r>
      <w:r w:rsidRPr="00370AF8">
        <w:t>NDIS Commission (NDIS Quality and Safeguards Commission)</w:t>
      </w:r>
      <w:r>
        <w:t>, 2020, pp. 20.</w:t>
      </w:r>
    </w:p>
  </w:endnote>
  <w:endnote w:id="29">
    <w:p w14:paraId="1A2907D7" w14:textId="77777777" w:rsidR="00C53CA3" w:rsidRPr="008318E1" w:rsidRDefault="00C53CA3" w:rsidP="006A1050">
      <w:pPr>
        <w:pStyle w:val="EndnoteText"/>
        <w:rPr>
          <w:rFonts w:cstheme="minorHAnsi"/>
        </w:rPr>
      </w:pPr>
      <w:r w:rsidRPr="008318E1">
        <w:rPr>
          <w:rStyle w:val="EndnoteReference"/>
          <w:rFonts w:cstheme="minorHAnsi"/>
        </w:rPr>
        <w:endnoteRef/>
      </w:r>
      <w:r w:rsidRPr="008318E1">
        <w:rPr>
          <w:rFonts w:cstheme="minorHAnsi"/>
        </w:rPr>
        <w:t xml:space="preserve"> NDIS Review Analysis, </w:t>
      </w:r>
      <w:r w:rsidRPr="00BF5493">
        <w:rPr>
          <w:rFonts w:cstheme="minorHAnsi"/>
          <w:i/>
        </w:rPr>
        <w:t>NDIS Quarterly Report (Q2)</w:t>
      </w:r>
      <w:r>
        <w:rPr>
          <w:rFonts w:cstheme="minorHAnsi"/>
          <w:i/>
        </w:rPr>
        <w:t>,</w:t>
      </w:r>
      <w:r w:rsidRPr="008318E1">
        <w:rPr>
          <w:rFonts w:cstheme="minorHAnsi"/>
        </w:rPr>
        <w:t xml:space="preserve"> figure 71: Total payments in Q2 2022–23 by plan management type, December 2022. </w:t>
      </w:r>
    </w:p>
  </w:endnote>
  <w:endnote w:id="30">
    <w:p w14:paraId="331E8B7D" w14:textId="77777777" w:rsidR="00C53CA3" w:rsidRDefault="00C53CA3" w:rsidP="00987367">
      <w:pPr>
        <w:pStyle w:val="EndnoteText"/>
      </w:pPr>
      <w:r>
        <w:rPr>
          <w:rStyle w:val="EndnoteReference"/>
        </w:rPr>
        <w:endnoteRef/>
      </w:r>
      <w:r>
        <w:t xml:space="preserve"> </w:t>
      </w:r>
      <w:r w:rsidRPr="003E2527">
        <w:t xml:space="preserve">National Disability Insurance Agency </w:t>
      </w:r>
      <w:r>
        <w:t>(</w:t>
      </w:r>
      <w:r w:rsidRPr="003E2527">
        <w:t>NDIA</w:t>
      </w:r>
      <w:r>
        <w:t>)</w:t>
      </w:r>
      <w:r w:rsidRPr="008318E1">
        <w:rPr>
          <w:rFonts w:cstheme="minorHAnsi"/>
        </w:rPr>
        <w:t xml:space="preserve">, </w:t>
      </w:r>
      <w:r w:rsidRPr="008318E1">
        <w:rPr>
          <w:rFonts w:cstheme="minorHAnsi"/>
          <w:i/>
        </w:rPr>
        <w:t>NDIS Pricing Strategy</w:t>
      </w:r>
      <w:r w:rsidRPr="008318E1">
        <w:rPr>
          <w:rFonts w:cstheme="minorHAnsi"/>
        </w:rPr>
        <w:t>, 2019</w:t>
      </w:r>
      <w:r>
        <w:rPr>
          <w:rFonts w:cstheme="minorHAnsi"/>
        </w:rPr>
        <w:t>, pp. 5.</w:t>
      </w:r>
    </w:p>
  </w:endnote>
  <w:endnote w:id="31">
    <w:p w14:paraId="35D9FFB8" w14:textId="77777777" w:rsidR="00C53CA3" w:rsidRDefault="00C53CA3" w:rsidP="006A1050">
      <w:pPr>
        <w:pStyle w:val="EndnoteText"/>
      </w:pPr>
      <w:r>
        <w:rPr>
          <w:rStyle w:val="EndnoteReference"/>
        </w:rPr>
        <w:endnoteRef/>
      </w:r>
      <w:r>
        <w:t xml:space="preserve"> </w:t>
      </w:r>
      <w:r w:rsidRPr="003E2527">
        <w:t xml:space="preserve">National Disability Insurance Agency </w:t>
      </w:r>
      <w:r>
        <w:t>(</w:t>
      </w:r>
      <w:r w:rsidRPr="003E2527">
        <w:t>NDIA</w:t>
      </w:r>
      <w:r>
        <w:t xml:space="preserve">), </w:t>
      </w:r>
      <w:r w:rsidRPr="00BF5493">
        <w:rPr>
          <w:i/>
        </w:rPr>
        <w:t>Continence providers list</w:t>
      </w:r>
      <w:r>
        <w:t xml:space="preserve">, 2023. </w:t>
      </w:r>
      <w:hyperlink r:id="rId4" w:history="1">
        <w:r w:rsidRPr="00BF5493">
          <w:rPr>
            <w:rStyle w:val="Hyperlink"/>
            <w:rFonts w:asciiTheme="minorHAnsi" w:hAnsiTheme="minorHAnsi"/>
            <w:sz w:val="20"/>
          </w:rPr>
          <w:t>www.ndis.gov.au/participants/assistive-technology-explained/continence-provider-list</w:t>
        </w:r>
      </w:hyperlink>
    </w:p>
  </w:endnote>
  <w:endnote w:id="32">
    <w:p w14:paraId="0734105C" w14:textId="77777777" w:rsidR="00C53CA3" w:rsidRDefault="00C53CA3" w:rsidP="006A1050">
      <w:pPr>
        <w:pStyle w:val="EndnoteText"/>
      </w:pPr>
      <w:r>
        <w:rPr>
          <w:rStyle w:val="EndnoteReference"/>
        </w:rPr>
        <w:endnoteRef/>
      </w:r>
      <w:r>
        <w:t xml:space="preserve"> </w:t>
      </w:r>
      <w:r w:rsidRPr="008318E1">
        <w:rPr>
          <w:rFonts w:cstheme="minorHAnsi"/>
        </w:rPr>
        <w:t xml:space="preserve">NDIS Review Analysis, </w:t>
      </w:r>
      <w:r w:rsidRPr="0025658D">
        <w:rPr>
          <w:rFonts w:cstheme="minorHAnsi"/>
          <w:i/>
        </w:rPr>
        <w:t>NDIS Quarterly Report (Q2)</w:t>
      </w:r>
      <w:r>
        <w:rPr>
          <w:rFonts w:cstheme="minorHAnsi"/>
          <w:i/>
        </w:rPr>
        <w:t>,</w:t>
      </w:r>
      <w:r w:rsidRPr="008318E1">
        <w:rPr>
          <w:rFonts w:cstheme="minorHAnsi"/>
        </w:rPr>
        <w:t xml:space="preserve"> figure 71: Total payments in Q2 2022–23 by plan management type, December 2022.</w:t>
      </w:r>
    </w:p>
  </w:endnote>
  <w:endnote w:id="33">
    <w:p w14:paraId="73645D14" w14:textId="77777777" w:rsidR="00C53CA3" w:rsidRPr="008318E1" w:rsidRDefault="00C53CA3" w:rsidP="00025FBA">
      <w:pPr>
        <w:pStyle w:val="EndnoteText"/>
        <w:rPr>
          <w:rFonts w:cstheme="minorHAnsi"/>
        </w:rPr>
      </w:pPr>
      <w:r w:rsidRPr="008318E1">
        <w:rPr>
          <w:rStyle w:val="EndnoteReference"/>
          <w:rFonts w:cstheme="minorHAnsi"/>
        </w:rPr>
        <w:endnoteRef/>
      </w:r>
      <w:r w:rsidRPr="008318E1">
        <w:rPr>
          <w:rFonts w:cstheme="minorHAnsi"/>
        </w:rPr>
        <w:t xml:space="preserve"> </w:t>
      </w:r>
      <w:r w:rsidRPr="003E2527">
        <w:t xml:space="preserve">National Disability Insurance Agency </w:t>
      </w:r>
      <w:r>
        <w:t>(</w:t>
      </w:r>
      <w:r w:rsidRPr="003E2527">
        <w:t>NDIA</w:t>
      </w:r>
      <w:r>
        <w:t>)</w:t>
      </w:r>
      <w:r w:rsidRPr="008318E1">
        <w:rPr>
          <w:rFonts w:cstheme="minorHAnsi"/>
        </w:rPr>
        <w:t xml:space="preserve">, </w:t>
      </w:r>
      <w:r w:rsidRPr="008318E1">
        <w:rPr>
          <w:rFonts w:cstheme="minorHAnsi"/>
          <w:i/>
        </w:rPr>
        <w:t>NDIS Pricing Strategy</w:t>
      </w:r>
      <w:r w:rsidRPr="008318E1">
        <w:rPr>
          <w:rFonts w:cstheme="minorHAnsi"/>
        </w:rPr>
        <w:t>, 2019</w:t>
      </w:r>
      <w:r>
        <w:rPr>
          <w:rFonts w:cstheme="minorHAnsi"/>
        </w:rPr>
        <w:t xml:space="preserve">, </w:t>
      </w:r>
      <w:r w:rsidRPr="008318E1">
        <w:rPr>
          <w:rFonts w:cstheme="minorHAnsi"/>
        </w:rPr>
        <w:t>pp. 5, 9</w:t>
      </w:r>
      <w:r>
        <w:rPr>
          <w:rFonts w:cstheme="minorHAnsi"/>
        </w:rPr>
        <w:t>.</w:t>
      </w:r>
    </w:p>
  </w:endnote>
  <w:endnote w:id="34">
    <w:p w14:paraId="6C53C94A" w14:textId="77777777" w:rsidR="00C53CA3" w:rsidRPr="00BB6405" w:rsidRDefault="00C53CA3" w:rsidP="00025FBA">
      <w:pPr>
        <w:pStyle w:val="EndnoteText"/>
      </w:pPr>
      <w:r w:rsidRPr="008318E1">
        <w:rPr>
          <w:rStyle w:val="EndnoteReference"/>
          <w:rFonts w:cstheme="minorHAnsi"/>
        </w:rPr>
        <w:endnoteRef/>
      </w:r>
      <w:r w:rsidRPr="008318E1">
        <w:rPr>
          <w:rFonts w:cstheme="minorHAnsi"/>
        </w:rPr>
        <w:t xml:space="preserve"> </w:t>
      </w:r>
      <w:r w:rsidRPr="003E2527">
        <w:t xml:space="preserve">National Disability Insurance Agency </w:t>
      </w:r>
      <w:r>
        <w:t>(</w:t>
      </w:r>
      <w:r w:rsidRPr="003E2527">
        <w:t>NDIA</w:t>
      </w:r>
      <w:r>
        <w:t>)</w:t>
      </w:r>
      <w:r w:rsidRPr="008318E1">
        <w:rPr>
          <w:rFonts w:cstheme="minorHAnsi"/>
        </w:rPr>
        <w:t xml:space="preserve">, Pricing </w:t>
      </w:r>
      <w:r>
        <w:rPr>
          <w:rFonts w:cstheme="minorHAnsi"/>
        </w:rPr>
        <w:t xml:space="preserve">Arrangement </w:t>
      </w:r>
      <w:r w:rsidRPr="008318E1">
        <w:rPr>
          <w:rFonts w:cstheme="minorHAnsi"/>
        </w:rPr>
        <w:t>Reference Group, 2022</w:t>
      </w:r>
      <w:r>
        <w:rPr>
          <w:rFonts w:cstheme="minorHAnsi"/>
        </w:rPr>
        <w:t>.</w:t>
      </w:r>
      <w:r w:rsidRPr="008318E1">
        <w:rPr>
          <w:rFonts w:cstheme="minorHAnsi"/>
        </w:rPr>
        <w:t xml:space="preserve"> </w:t>
      </w:r>
      <w:hyperlink r:id="rId5" w:history="1">
        <w:r w:rsidRPr="00BF5493">
          <w:rPr>
            <w:rStyle w:val="Hyperlink"/>
            <w:rFonts w:asciiTheme="minorHAnsi" w:hAnsiTheme="minorHAnsi"/>
            <w:sz w:val="20"/>
          </w:rPr>
          <w:t>www.ndis.gov.au/about-us/reference-group-updates/pricing-reference-group</w:t>
        </w:r>
      </w:hyperlink>
    </w:p>
  </w:endnote>
  <w:endnote w:id="35">
    <w:p w14:paraId="655E13FE" w14:textId="77777777" w:rsidR="00C53CA3" w:rsidRDefault="00C53CA3" w:rsidP="00025FBA">
      <w:pPr>
        <w:pStyle w:val="EndnoteText"/>
      </w:pPr>
      <w:r>
        <w:rPr>
          <w:rStyle w:val="EndnoteReference"/>
        </w:rPr>
        <w:endnoteRef/>
      </w:r>
      <w:r>
        <w:t xml:space="preserve"> </w:t>
      </w:r>
      <w:r w:rsidRPr="008318E1">
        <w:rPr>
          <w:rFonts w:cstheme="minorHAnsi"/>
        </w:rPr>
        <w:t xml:space="preserve">Productivity Commission, </w:t>
      </w:r>
      <w:r w:rsidRPr="008318E1">
        <w:rPr>
          <w:rFonts w:cstheme="minorHAnsi"/>
          <w:i/>
        </w:rPr>
        <w:t>NDIS Costs</w:t>
      </w:r>
      <w:r w:rsidRPr="008318E1" w:rsidDel="00673AB8">
        <w:rPr>
          <w:rFonts w:cstheme="minorHAnsi"/>
          <w:i/>
        </w:rPr>
        <w:t xml:space="preserve"> -</w:t>
      </w:r>
      <w:r w:rsidRPr="00F12710">
        <w:rPr>
          <w:rFonts w:cstheme="minorHAnsi"/>
          <w:i/>
        </w:rPr>
        <w:t xml:space="preserve"> Study report</w:t>
      </w:r>
      <w:r>
        <w:rPr>
          <w:rFonts w:cstheme="minorHAnsi"/>
          <w:i/>
        </w:rPr>
        <w:t>,</w:t>
      </w:r>
      <w:r>
        <w:rPr>
          <w:rFonts w:cstheme="minorHAnsi"/>
        </w:rPr>
        <w:t xml:space="preserve"> </w:t>
      </w:r>
      <w:r w:rsidRPr="008318E1">
        <w:rPr>
          <w:rFonts w:cstheme="minorHAnsi"/>
        </w:rPr>
        <w:t>2017</w:t>
      </w:r>
      <w:r>
        <w:rPr>
          <w:rFonts w:cstheme="minorHAnsi"/>
        </w:rPr>
        <w:t>,</w:t>
      </w:r>
      <w:r w:rsidRPr="003E10E2">
        <w:rPr>
          <w:rFonts w:ascii="Segoe UI" w:hAnsi="Segoe UI" w:cs="Segoe UI"/>
        </w:rPr>
        <w:t xml:space="preserve"> </w:t>
      </w:r>
      <w:r>
        <w:rPr>
          <w:rFonts w:ascii="Segoe UI" w:hAnsi="Segoe UI" w:cs="Segoe UI"/>
        </w:rPr>
        <w:t>pp. 34</w:t>
      </w:r>
      <w:r>
        <w:rPr>
          <w:rFonts w:cstheme="minorHAnsi"/>
        </w:rPr>
        <w:t>.</w:t>
      </w:r>
    </w:p>
  </w:endnote>
  <w:endnote w:id="36">
    <w:p w14:paraId="6531D7B4" w14:textId="77777777" w:rsidR="00C53CA3" w:rsidRPr="008318E1" w:rsidRDefault="00C53CA3" w:rsidP="00025FBA">
      <w:pPr>
        <w:autoSpaceDE w:val="0"/>
        <w:autoSpaceDN w:val="0"/>
        <w:adjustRightInd w:val="0"/>
        <w:spacing w:after="0" w:line="240" w:lineRule="auto"/>
        <w:rPr>
          <w:rFonts w:cstheme="minorHAnsi"/>
          <w:sz w:val="20"/>
          <w:szCs w:val="20"/>
        </w:rPr>
      </w:pPr>
      <w:r w:rsidRPr="008318E1">
        <w:rPr>
          <w:rStyle w:val="EndnoteReference"/>
          <w:rFonts w:cstheme="minorHAnsi"/>
        </w:rPr>
        <w:endnoteRef/>
      </w:r>
      <w:r w:rsidRPr="008318E1">
        <w:rPr>
          <w:rFonts w:cstheme="minorHAnsi"/>
          <w:sz w:val="20"/>
          <w:szCs w:val="20"/>
        </w:rPr>
        <w:t xml:space="preserve"> </w:t>
      </w:r>
      <w:r w:rsidRPr="002E6EB6">
        <w:rPr>
          <w:rFonts w:cstheme="minorHAnsi"/>
          <w:sz w:val="20"/>
          <w:szCs w:val="20"/>
        </w:rPr>
        <w:t>National Disability Insurance Agency (NDIA)</w:t>
      </w:r>
      <w:r w:rsidRPr="008318E1">
        <w:rPr>
          <w:rFonts w:cstheme="minorHAnsi"/>
          <w:sz w:val="20"/>
          <w:szCs w:val="20"/>
        </w:rPr>
        <w:t xml:space="preserve">, </w:t>
      </w:r>
      <w:r w:rsidRPr="008318E1">
        <w:rPr>
          <w:rFonts w:cstheme="minorHAnsi"/>
          <w:i/>
          <w:sz w:val="20"/>
          <w:szCs w:val="20"/>
        </w:rPr>
        <w:t>Final report – Financial Benchmarking Survey 2021-22</w:t>
      </w:r>
      <w:r w:rsidRPr="008318E1">
        <w:rPr>
          <w:rFonts w:cstheme="minorHAnsi"/>
          <w:sz w:val="20"/>
          <w:szCs w:val="20"/>
        </w:rPr>
        <w:t>, 2022</w:t>
      </w:r>
      <w:r>
        <w:rPr>
          <w:rFonts w:cstheme="minorHAnsi"/>
          <w:sz w:val="20"/>
          <w:szCs w:val="20"/>
        </w:rPr>
        <w:t xml:space="preserve">, </w:t>
      </w:r>
      <w:r w:rsidRPr="008318E1">
        <w:rPr>
          <w:rFonts w:cstheme="minorHAnsi"/>
          <w:sz w:val="20"/>
          <w:szCs w:val="20"/>
        </w:rPr>
        <w:t>p</w:t>
      </w:r>
      <w:r>
        <w:rPr>
          <w:rFonts w:cstheme="minorHAnsi"/>
          <w:sz w:val="20"/>
          <w:szCs w:val="20"/>
        </w:rPr>
        <w:t>p</w:t>
      </w:r>
      <w:r w:rsidRPr="008318E1">
        <w:rPr>
          <w:rFonts w:cstheme="minorHAnsi"/>
          <w:sz w:val="20"/>
          <w:szCs w:val="20"/>
        </w:rPr>
        <w:t>. 9.</w:t>
      </w:r>
    </w:p>
  </w:endnote>
  <w:endnote w:id="37">
    <w:p w14:paraId="442D0BD4" w14:textId="77777777" w:rsidR="00C53CA3" w:rsidRPr="008318E1" w:rsidRDefault="00C53CA3" w:rsidP="00025FBA">
      <w:pPr>
        <w:autoSpaceDE w:val="0"/>
        <w:autoSpaceDN w:val="0"/>
        <w:adjustRightInd w:val="0"/>
        <w:spacing w:after="0" w:line="240" w:lineRule="auto"/>
        <w:rPr>
          <w:rFonts w:cstheme="minorHAnsi"/>
          <w:sz w:val="20"/>
          <w:szCs w:val="20"/>
        </w:rPr>
      </w:pPr>
      <w:r w:rsidRPr="008318E1">
        <w:rPr>
          <w:rStyle w:val="EndnoteReference"/>
          <w:rFonts w:cstheme="minorHAnsi"/>
        </w:rPr>
        <w:endnoteRef/>
      </w:r>
      <w:r w:rsidRPr="008318E1">
        <w:rPr>
          <w:rFonts w:cstheme="minorHAnsi"/>
          <w:sz w:val="20"/>
          <w:szCs w:val="20"/>
        </w:rPr>
        <w:t xml:space="preserve"> </w:t>
      </w:r>
      <w:r w:rsidRPr="002E6EB6">
        <w:rPr>
          <w:rFonts w:cstheme="minorHAnsi"/>
          <w:sz w:val="20"/>
          <w:szCs w:val="20"/>
        </w:rPr>
        <w:t>National Disability Insurance Agency (NDIA)</w:t>
      </w:r>
      <w:r w:rsidRPr="008318E1">
        <w:rPr>
          <w:rFonts w:cstheme="minorHAnsi"/>
          <w:sz w:val="20"/>
          <w:szCs w:val="20"/>
        </w:rPr>
        <w:t xml:space="preserve">, </w:t>
      </w:r>
      <w:r w:rsidRPr="008318E1">
        <w:rPr>
          <w:rFonts w:cstheme="minorHAnsi"/>
          <w:i/>
          <w:sz w:val="20"/>
          <w:szCs w:val="20"/>
        </w:rPr>
        <w:t>Final report – Financial Benchmarking Survey 2021-22</w:t>
      </w:r>
      <w:r w:rsidRPr="008318E1">
        <w:rPr>
          <w:rFonts w:cstheme="minorHAnsi"/>
          <w:sz w:val="20"/>
          <w:szCs w:val="20"/>
        </w:rPr>
        <w:t>, 2022</w:t>
      </w:r>
      <w:r>
        <w:rPr>
          <w:rFonts w:cstheme="minorHAnsi"/>
          <w:sz w:val="20"/>
          <w:szCs w:val="20"/>
        </w:rPr>
        <w:t xml:space="preserve">, </w:t>
      </w:r>
      <w:r w:rsidRPr="008318E1">
        <w:rPr>
          <w:rFonts w:cstheme="minorHAnsi"/>
          <w:sz w:val="20"/>
          <w:szCs w:val="20"/>
        </w:rPr>
        <w:t xml:space="preserve">pp. </w:t>
      </w:r>
      <w:r>
        <w:rPr>
          <w:rFonts w:cstheme="minorHAnsi"/>
          <w:sz w:val="20"/>
          <w:szCs w:val="20"/>
        </w:rPr>
        <w:t>9.</w:t>
      </w:r>
    </w:p>
  </w:endnote>
  <w:endnote w:id="38">
    <w:p w14:paraId="0F2B8C06" w14:textId="77777777" w:rsidR="00C53CA3" w:rsidRPr="008318E1" w:rsidRDefault="00C53CA3" w:rsidP="00025FBA">
      <w:pPr>
        <w:pStyle w:val="EndnoteText"/>
        <w:rPr>
          <w:rFonts w:cstheme="minorHAnsi"/>
        </w:rPr>
      </w:pPr>
      <w:r w:rsidRPr="008318E1">
        <w:rPr>
          <w:rStyle w:val="EndnoteReference"/>
          <w:rFonts w:cstheme="minorHAnsi"/>
        </w:rPr>
        <w:endnoteRef/>
      </w:r>
      <w:r w:rsidRPr="008318E1">
        <w:rPr>
          <w:rFonts w:cstheme="minorHAnsi"/>
        </w:rPr>
        <w:t xml:space="preserve"> </w:t>
      </w:r>
      <w:r w:rsidRPr="003E2527">
        <w:t xml:space="preserve">National Disability Insurance Agency </w:t>
      </w:r>
      <w:r>
        <w:t>(</w:t>
      </w:r>
      <w:r w:rsidRPr="003E2527">
        <w:t>NDIA</w:t>
      </w:r>
      <w:r>
        <w:t>)</w:t>
      </w:r>
      <w:r w:rsidRPr="008318E1">
        <w:rPr>
          <w:rFonts w:cstheme="minorHAnsi"/>
        </w:rPr>
        <w:t xml:space="preserve">, </w:t>
      </w:r>
      <w:r w:rsidRPr="008318E1">
        <w:rPr>
          <w:rFonts w:cstheme="minorHAnsi"/>
          <w:i/>
        </w:rPr>
        <w:t>Disability Support Worker Cost Model Assumptions and Methodology 2021-22</w:t>
      </w:r>
      <w:r w:rsidRPr="008318E1">
        <w:rPr>
          <w:rFonts w:cstheme="minorHAnsi"/>
        </w:rPr>
        <w:t>, 2021</w:t>
      </w:r>
      <w:r>
        <w:rPr>
          <w:rFonts w:cstheme="minorHAnsi"/>
        </w:rPr>
        <w:t xml:space="preserve">, </w:t>
      </w:r>
      <w:r w:rsidRPr="008318E1">
        <w:rPr>
          <w:rFonts w:cstheme="minorHAnsi"/>
        </w:rPr>
        <w:t>pp. 4</w:t>
      </w:r>
      <w:r>
        <w:rPr>
          <w:rFonts w:cstheme="minorHAnsi"/>
        </w:rPr>
        <w:t>.</w:t>
      </w:r>
    </w:p>
  </w:endnote>
  <w:endnote w:id="39">
    <w:p w14:paraId="14A78B03" w14:textId="77777777" w:rsidR="00C53CA3" w:rsidRPr="008318E1" w:rsidRDefault="00C53CA3" w:rsidP="00025FBA">
      <w:pPr>
        <w:autoSpaceDE w:val="0"/>
        <w:autoSpaceDN w:val="0"/>
        <w:adjustRightInd w:val="0"/>
        <w:spacing w:after="0" w:line="240" w:lineRule="auto"/>
        <w:rPr>
          <w:rFonts w:cstheme="minorHAnsi"/>
          <w:sz w:val="20"/>
          <w:szCs w:val="20"/>
        </w:rPr>
      </w:pPr>
      <w:r w:rsidRPr="008318E1">
        <w:rPr>
          <w:rStyle w:val="EndnoteReference"/>
          <w:rFonts w:cstheme="minorHAnsi"/>
        </w:rPr>
        <w:endnoteRef/>
      </w:r>
      <w:r w:rsidRPr="008318E1">
        <w:rPr>
          <w:rFonts w:cstheme="minorHAnsi"/>
          <w:sz w:val="20"/>
          <w:szCs w:val="20"/>
        </w:rPr>
        <w:t xml:space="preserve"> </w:t>
      </w:r>
      <w:r w:rsidRPr="00CC009F">
        <w:rPr>
          <w:rFonts w:cstheme="minorHAnsi"/>
          <w:sz w:val="20"/>
          <w:szCs w:val="20"/>
        </w:rPr>
        <w:t>Independent Health and Aged Care Pricing Authority</w:t>
      </w:r>
      <w:r>
        <w:rPr>
          <w:rFonts w:cstheme="minorHAnsi"/>
          <w:sz w:val="20"/>
          <w:szCs w:val="20"/>
        </w:rPr>
        <w:t xml:space="preserve"> (</w:t>
      </w:r>
      <w:r w:rsidRPr="008318E1">
        <w:rPr>
          <w:rFonts w:cstheme="minorHAnsi"/>
          <w:sz w:val="20"/>
          <w:szCs w:val="20"/>
        </w:rPr>
        <w:t>IHACPA</w:t>
      </w:r>
      <w:r>
        <w:rPr>
          <w:rFonts w:cstheme="minorHAnsi"/>
          <w:sz w:val="20"/>
          <w:szCs w:val="20"/>
        </w:rPr>
        <w:t>),</w:t>
      </w:r>
      <w:r w:rsidRPr="008318E1">
        <w:rPr>
          <w:rFonts w:cstheme="minorHAnsi"/>
          <w:sz w:val="20"/>
          <w:szCs w:val="20"/>
        </w:rPr>
        <w:t xml:space="preserve"> </w:t>
      </w:r>
      <w:r w:rsidRPr="002157FF">
        <w:rPr>
          <w:rFonts w:cstheme="minorHAnsi"/>
          <w:i/>
          <w:sz w:val="20"/>
          <w:szCs w:val="20"/>
        </w:rPr>
        <w:t>Understanding the NEP and NEC Determinations 2023–24</w:t>
      </w:r>
      <w:r>
        <w:rPr>
          <w:rFonts w:cstheme="minorHAnsi"/>
          <w:i/>
          <w:sz w:val="20"/>
          <w:szCs w:val="20"/>
        </w:rPr>
        <w:t>,</w:t>
      </w:r>
      <w:r w:rsidRPr="008318E1">
        <w:rPr>
          <w:rFonts w:cstheme="minorHAnsi"/>
          <w:b/>
          <w:sz w:val="20"/>
          <w:szCs w:val="20"/>
        </w:rPr>
        <w:t xml:space="preserve"> </w:t>
      </w:r>
      <w:r w:rsidRPr="008318E1">
        <w:rPr>
          <w:rFonts w:cstheme="minorHAnsi"/>
          <w:sz w:val="20"/>
          <w:szCs w:val="20"/>
        </w:rPr>
        <w:t>2023</w:t>
      </w:r>
      <w:r>
        <w:rPr>
          <w:rFonts w:cstheme="minorHAnsi"/>
          <w:sz w:val="20"/>
          <w:szCs w:val="20"/>
        </w:rPr>
        <w:t xml:space="preserve">, </w:t>
      </w:r>
      <w:r w:rsidRPr="002157FF">
        <w:rPr>
          <w:rFonts w:cstheme="minorHAnsi"/>
          <w:sz w:val="20"/>
          <w:szCs w:val="20"/>
        </w:rPr>
        <w:t>pp.</w:t>
      </w:r>
      <w:r>
        <w:rPr>
          <w:rFonts w:cstheme="minorHAnsi"/>
          <w:sz w:val="20"/>
          <w:szCs w:val="20"/>
        </w:rPr>
        <w:t xml:space="preserve"> </w:t>
      </w:r>
      <w:r w:rsidRPr="008318E1">
        <w:rPr>
          <w:rFonts w:cstheme="minorHAnsi"/>
          <w:sz w:val="20"/>
          <w:szCs w:val="20"/>
        </w:rPr>
        <w:t>4.</w:t>
      </w:r>
    </w:p>
  </w:endnote>
  <w:endnote w:id="40">
    <w:p w14:paraId="7A8CBAD8" w14:textId="77777777" w:rsidR="00C53CA3" w:rsidRDefault="00C53CA3" w:rsidP="008A5BCE">
      <w:pPr>
        <w:pStyle w:val="EndnoteText"/>
      </w:pPr>
      <w:r>
        <w:rPr>
          <w:rStyle w:val="EndnoteReference"/>
        </w:rPr>
        <w:endnoteRef/>
      </w:r>
      <w:r>
        <w:t xml:space="preserve"> </w:t>
      </w:r>
      <w:r w:rsidRPr="00FA0DBE">
        <w:t>Submission 212</w:t>
      </w:r>
      <w:r>
        <w:t xml:space="preserve"> </w:t>
      </w:r>
      <w:r w:rsidRPr="00FA0DBE">
        <w:t>to the NDI</w:t>
      </w:r>
      <w:r>
        <w:t xml:space="preserve">S Review’s </w:t>
      </w:r>
      <w:r w:rsidRPr="00684283">
        <w:rPr>
          <w:i/>
        </w:rPr>
        <w:t>Have your Say</w:t>
      </w:r>
      <w:r>
        <w:t xml:space="preserve"> survey.</w:t>
      </w:r>
    </w:p>
  </w:endnote>
  <w:endnote w:id="41">
    <w:p w14:paraId="03E8D8A0" w14:textId="77777777" w:rsidR="00C53CA3" w:rsidRPr="008318E1" w:rsidRDefault="00C53CA3" w:rsidP="008A5BCE">
      <w:pPr>
        <w:pStyle w:val="EndnoteText"/>
        <w:rPr>
          <w:rFonts w:cstheme="minorHAnsi"/>
        </w:rPr>
      </w:pPr>
      <w:r w:rsidRPr="008318E1">
        <w:rPr>
          <w:rStyle w:val="EndnoteReference"/>
          <w:rFonts w:cstheme="minorHAnsi"/>
        </w:rPr>
        <w:endnoteRef/>
      </w:r>
      <w:r w:rsidRPr="008318E1">
        <w:rPr>
          <w:rFonts w:cstheme="minorHAnsi"/>
        </w:rPr>
        <w:t xml:space="preserve"> McKinsey, </w:t>
      </w:r>
      <w:r w:rsidRPr="008318E1">
        <w:rPr>
          <w:rFonts w:cstheme="minorHAnsi"/>
          <w:i/>
        </w:rPr>
        <w:t>Independent Pricing Review - Final Report</w:t>
      </w:r>
      <w:r w:rsidRPr="008318E1">
        <w:rPr>
          <w:rFonts w:cstheme="minorHAnsi"/>
        </w:rPr>
        <w:t>, 2018</w:t>
      </w:r>
      <w:r>
        <w:rPr>
          <w:rFonts w:cstheme="minorHAnsi"/>
        </w:rPr>
        <w:t>, p</w:t>
      </w:r>
      <w:r w:rsidRPr="008318E1">
        <w:rPr>
          <w:rFonts w:cstheme="minorHAnsi"/>
        </w:rPr>
        <w:t>p. 5-6.</w:t>
      </w:r>
    </w:p>
  </w:endnote>
  <w:endnote w:id="42">
    <w:p w14:paraId="16CB11D3" w14:textId="77777777" w:rsidR="00C53CA3" w:rsidRDefault="00C53CA3" w:rsidP="008A5BCE">
      <w:pPr>
        <w:pStyle w:val="EndnoteText"/>
      </w:pPr>
      <w:r>
        <w:rPr>
          <w:rStyle w:val="EndnoteReference"/>
        </w:rPr>
        <w:endnoteRef/>
      </w:r>
      <w:r>
        <w:t xml:space="preserve"> National Disability Services (NDS), </w:t>
      </w:r>
      <w:r w:rsidRPr="00891BB6">
        <w:rPr>
          <w:i/>
        </w:rPr>
        <w:t>State of the Disability Sector Report 2022</w:t>
      </w:r>
      <w:r>
        <w:t>, 2022, pp.13.</w:t>
      </w:r>
    </w:p>
  </w:endnote>
  <w:endnote w:id="43">
    <w:p w14:paraId="077778C3" w14:textId="77777777" w:rsidR="00C53CA3" w:rsidRDefault="00C53CA3" w:rsidP="008A5BCE">
      <w:pPr>
        <w:pStyle w:val="EndnoteText"/>
      </w:pPr>
      <w:r>
        <w:rPr>
          <w:rStyle w:val="EndnoteReference"/>
        </w:rPr>
        <w:endnoteRef/>
      </w:r>
      <w:r>
        <w:t xml:space="preserve"> </w:t>
      </w:r>
      <w:r w:rsidRPr="002E6EB6">
        <w:rPr>
          <w:rFonts w:cstheme="minorHAnsi"/>
        </w:rPr>
        <w:t>National Disability Insurance Agency (</w:t>
      </w:r>
      <w:r>
        <w:t>NDIA</w:t>
      </w:r>
      <w:r w:rsidRPr="002E6EB6">
        <w:rPr>
          <w:rFonts w:cstheme="minorHAnsi"/>
        </w:rPr>
        <w:t>)</w:t>
      </w:r>
      <w:r>
        <w:t xml:space="preserve"> unpublished analysis of NDIS administration data. </w:t>
      </w:r>
      <w:r>
        <w:rPr>
          <w:rFonts w:cstheme="minorHAnsi"/>
        </w:rPr>
        <w:t>Transactions are considered to be a</w:t>
      </w:r>
      <w:r w:rsidRPr="008318E1">
        <w:rPr>
          <w:rFonts w:cstheme="minorHAnsi"/>
        </w:rPr>
        <w:t xml:space="preserve">t </w:t>
      </w:r>
      <w:r>
        <w:rPr>
          <w:rFonts w:cstheme="minorHAnsi"/>
        </w:rPr>
        <w:t>or close to the price cap if the price charged is within</w:t>
      </w:r>
      <w:r w:rsidRPr="008318E1">
        <w:rPr>
          <w:rFonts w:cstheme="minorHAnsi"/>
        </w:rPr>
        <w:t xml:space="preserve"> </w:t>
      </w:r>
      <w:r>
        <w:rPr>
          <w:rFonts w:cstheme="minorHAnsi"/>
        </w:rPr>
        <w:t xml:space="preserve">95% to </w:t>
      </w:r>
      <w:r w:rsidRPr="008318E1">
        <w:rPr>
          <w:rFonts w:cstheme="minorHAnsi"/>
        </w:rPr>
        <w:t>100</w:t>
      </w:r>
      <w:r>
        <w:rPr>
          <w:rFonts w:eastAsia="Times New Roman"/>
          <w:lang w:eastAsia="en-AU"/>
        </w:rPr>
        <w:t>%</w:t>
      </w:r>
      <w:r w:rsidRPr="008318E1">
        <w:rPr>
          <w:rFonts w:cstheme="minorHAnsi"/>
        </w:rPr>
        <w:t xml:space="preserve"> of the price cap.</w:t>
      </w:r>
      <w:r>
        <w:rPr>
          <w:rFonts w:cstheme="minorHAnsi"/>
        </w:rPr>
        <w:t xml:space="preserve"> </w:t>
      </w:r>
      <w:r w:rsidRPr="008B401B">
        <w:t xml:space="preserve">Excludes </w:t>
      </w:r>
      <w:r w:rsidRPr="008318E1">
        <w:rPr>
          <w:rFonts w:cstheme="minorHAnsi"/>
        </w:rPr>
        <w:t>supports delivered to self</w:t>
      </w:r>
      <w:r>
        <w:rPr>
          <w:rFonts w:cstheme="minorHAnsi"/>
        </w:rPr>
        <w:noBreakHyphen/>
      </w:r>
      <w:r w:rsidRPr="008318E1">
        <w:rPr>
          <w:rFonts w:cstheme="minorHAnsi"/>
        </w:rPr>
        <w:t>managed participants</w:t>
      </w:r>
      <w:r>
        <w:rPr>
          <w:rFonts w:cstheme="minorHAnsi"/>
        </w:rPr>
        <w:t xml:space="preserve"> and </w:t>
      </w:r>
      <w:r w:rsidRPr="001C55E2">
        <w:rPr>
          <w:rFonts w:cstheme="minorHAnsi"/>
        </w:rPr>
        <w:t>services that are not price controlled</w:t>
      </w:r>
      <w:r w:rsidRPr="008B401B">
        <w:t>.</w:t>
      </w:r>
      <w:r>
        <w:t xml:space="preserve"> </w:t>
      </w:r>
    </w:p>
  </w:endnote>
  <w:endnote w:id="44">
    <w:p w14:paraId="0D6091A8" w14:textId="77777777" w:rsidR="00C53CA3" w:rsidRPr="008318E1" w:rsidRDefault="00C53CA3" w:rsidP="008A5BCE">
      <w:pPr>
        <w:pStyle w:val="CommentText"/>
        <w:spacing w:after="0"/>
        <w:rPr>
          <w:rFonts w:cstheme="minorHAnsi"/>
        </w:rPr>
      </w:pPr>
      <w:r w:rsidRPr="008318E1">
        <w:rPr>
          <w:rFonts w:cstheme="minorHAnsi"/>
          <w:vertAlign w:val="superscript"/>
        </w:rPr>
        <w:endnoteRef/>
      </w:r>
      <w:r w:rsidRPr="008318E1">
        <w:rPr>
          <w:rFonts w:cstheme="minorHAnsi"/>
        </w:rPr>
        <w:t xml:space="preserve"> For example, the United Kingdom’s (UK) experience in re-introducing price regulation for electricity through a temporary default offer cap led to price compression as the price of the cheapest deals increased, and there was an increase in UK pension fund fees following the introduction of the fee cap.</w:t>
      </w:r>
    </w:p>
  </w:endnote>
  <w:endnote w:id="45">
    <w:p w14:paraId="4CC09214" w14:textId="77777777" w:rsidR="00C53CA3" w:rsidRPr="008318E1" w:rsidRDefault="00C53CA3" w:rsidP="008A5BCE">
      <w:pPr>
        <w:pStyle w:val="EndnoteText"/>
        <w:rPr>
          <w:rFonts w:cstheme="minorHAnsi"/>
        </w:rPr>
      </w:pPr>
      <w:r w:rsidRPr="008318E1">
        <w:rPr>
          <w:rStyle w:val="EndnoteReference"/>
          <w:rFonts w:cstheme="minorHAnsi"/>
        </w:rPr>
        <w:endnoteRef/>
      </w:r>
      <w:r w:rsidRPr="008318E1">
        <w:rPr>
          <w:rFonts w:cstheme="minorHAnsi"/>
        </w:rPr>
        <w:t xml:space="preserve"> </w:t>
      </w:r>
      <w:r w:rsidRPr="008318E1">
        <w:rPr>
          <w:rStyle w:val="ui-provider"/>
          <w:rFonts w:cstheme="minorHAnsi"/>
        </w:rPr>
        <w:t xml:space="preserve">Submission 764 to the NDIS Review’s </w:t>
      </w:r>
      <w:r w:rsidRPr="008318E1">
        <w:rPr>
          <w:rStyle w:val="ui-provider"/>
          <w:rFonts w:cstheme="minorHAnsi"/>
          <w:i/>
          <w:iCs/>
        </w:rPr>
        <w:t>Have your Say</w:t>
      </w:r>
      <w:r w:rsidRPr="008318E1">
        <w:rPr>
          <w:rStyle w:val="ui-provider"/>
          <w:rFonts w:cstheme="minorHAnsi"/>
        </w:rPr>
        <w:t xml:space="preserve"> survey.</w:t>
      </w:r>
    </w:p>
  </w:endnote>
  <w:endnote w:id="46">
    <w:p w14:paraId="12B0DE03" w14:textId="77777777" w:rsidR="00C53CA3" w:rsidRPr="008318E1" w:rsidRDefault="00C53CA3" w:rsidP="008A5BCE">
      <w:pPr>
        <w:pStyle w:val="EndnoteText"/>
        <w:rPr>
          <w:rFonts w:cstheme="minorHAnsi"/>
        </w:rPr>
      </w:pPr>
      <w:r w:rsidRPr="008318E1">
        <w:rPr>
          <w:rStyle w:val="EndnoteReference"/>
          <w:rFonts w:cstheme="minorHAnsi"/>
        </w:rPr>
        <w:endnoteRef/>
      </w:r>
      <w:r w:rsidRPr="008318E1">
        <w:rPr>
          <w:rFonts w:cstheme="minorHAnsi"/>
        </w:rPr>
        <w:t xml:space="preserve"> </w:t>
      </w:r>
      <w:r w:rsidRPr="00B62515">
        <w:rPr>
          <w:rFonts w:cstheme="minorHAnsi"/>
        </w:rPr>
        <w:t>Joint Standing Committee on the National Disability Insurance Scheme</w:t>
      </w:r>
      <w:r>
        <w:rPr>
          <w:rFonts w:cstheme="minorHAnsi"/>
        </w:rPr>
        <w:t xml:space="preserve">, </w:t>
      </w:r>
      <w:r w:rsidRPr="008318E1">
        <w:rPr>
          <w:rFonts w:cstheme="minorHAnsi"/>
        </w:rPr>
        <w:t xml:space="preserve"> </w:t>
      </w:r>
      <w:r w:rsidRPr="00BF5493">
        <w:rPr>
          <w:rFonts w:cstheme="minorHAnsi"/>
          <w:i/>
        </w:rPr>
        <w:t>Inquiry into Market Readiness</w:t>
      </w:r>
      <w:r w:rsidRPr="008318E1">
        <w:rPr>
          <w:rFonts w:cstheme="minorHAnsi"/>
        </w:rPr>
        <w:t xml:space="preserve">, </w:t>
      </w:r>
      <w:r>
        <w:rPr>
          <w:rFonts w:eastAsia="Calibri"/>
          <w:lang w:val="en-US"/>
        </w:rPr>
        <w:t xml:space="preserve">Parliament of Australia, </w:t>
      </w:r>
      <w:r w:rsidRPr="008318E1">
        <w:rPr>
          <w:rFonts w:cstheme="minorHAnsi"/>
        </w:rPr>
        <w:t>2018</w:t>
      </w:r>
      <w:r>
        <w:rPr>
          <w:rFonts w:ascii="Segoe UI" w:hAnsi="Segoe UI" w:cs="Segoe UI"/>
        </w:rPr>
        <w:t>, pp. 70</w:t>
      </w:r>
      <w:r>
        <w:rPr>
          <w:rFonts w:cstheme="minorHAnsi"/>
        </w:rPr>
        <w:t>.</w:t>
      </w:r>
    </w:p>
  </w:endnote>
  <w:endnote w:id="47">
    <w:p w14:paraId="2641DD47" w14:textId="77777777" w:rsidR="00C53CA3" w:rsidRDefault="00C53CA3" w:rsidP="008A5BCE">
      <w:pPr>
        <w:pStyle w:val="EndnoteText"/>
      </w:pPr>
      <w:r>
        <w:rPr>
          <w:rStyle w:val="EndnoteReference"/>
        </w:rPr>
        <w:endnoteRef/>
      </w:r>
      <w:r>
        <w:t xml:space="preserve"> </w:t>
      </w:r>
      <w:r w:rsidRPr="008318E1">
        <w:rPr>
          <w:rFonts w:cstheme="minorHAnsi"/>
        </w:rPr>
        <w:t xml:space="preserve">Hireup, </w:t>
      </w:r>
      <w:r w:rsidRPr="008318E1">
        <w:rPr>
          <w:rFonts w:cstheme="minorHAnsi"/>
          <w:i/>
        </w:rPr>
        <w:t>Submission to the NDIS Review</w:t>
      </w:r>
      <w:r w:rsidRPr="008318E1">
        <w:rPr>
          <w:rFonts w:cstheme="minorHAnsi"/>
        </w:rPr>
        <w:t>, 2023</w:t>
      </w:r>
      <w:r>
        <w:rPr>
          <w:rFonts w:cstheme="minorHAnsi"/>
        </w:rPr>
        <w:t xml:space="preserve">, </w:t>
      </w:r>
      <w:r w:rsidRPr="008318E1">
        <w:rPr>
          <w:rFonts w:cstheme="minorHAnsi"/>
        </w:rPr>
        <w:t>p</w:t>
      </w:r>
      <w:r>
        <w:rPr>
          <w:rFonts w:cstheme="minorHAnsi"/>
        </w:rPr>
        <w:t>p</w:t>
      </w:r>
      <w:r w:rsidRPr="008318E1">
        <w:rPr>
          <w:rFonts w:cstheme="minorHAnsi"/>
        </w:rPr>
        <w:t>. 7</w:t>
      </w:r>
      <w:r>
        <w:rPr>
          <w:rFonts w:cstheme="minorHAnsi"/>
        </w:rPr>
        <w:t>.</w:t>
      </w:r>
    </w:p>
  </w:endnote>
  <w:endnote w:id="48">
    <w:p w14:paraId="47D2AB82" w14:textId="77777777" w:rsidR="00C53CA3" w:rsidRDefault="00C53CA3" w:rsidP="008A5BCE">
      <w:pPr>
        <w:pStyle w:val="EndnoteText"/>
      </w:pPr>
      <w:r>
        <w:rPr>
          <w:rStyle w:val="EndnoteReference"/>
        </w:rPr>
        <w:endnoteRef/>
      </w:r>
      <w:r>
        <w:t xml:space="preserve"> </w:t>
      </w:r>
      <w:r w:rsidRPr="008318E1">
        <w:rPr>
          <w:rFonts w:cstheme="minorHAnsi"/>
        </w:rPr>
        <w:t xml:space="preserve">Hireup, </w:t>
      </w:r>
      <w:r w:rsidRPr="008318E1">
        <w:rPr>
          <w:rFonts w:cstheme="minorHAnsi"/>
          <w:i/>
        </w:rPr>
        <w:t>Submission to the NDIS Review</w:t>
      </w:r>
      <w:r w:rsidRPr="008318E1">
        <w:rPr>
          <w:rFonts w:cstheme="minorHAnsi"/>
        </w:rPr>
        <w:t>, 2023</w:t>
      </w:r>
      <w:r>
        <w:rPr>
          <w:rFonts w:cstheme="minorHAnsi"/>
        </w:rPr>
        <w:t xml:space="preserve">, </w:t>
      </w:r>
      <w:r w:rsidRPr="008318E1">
        <w:rPr>
          <w:rFonts w:cstheme="minorHAnsi"/>
        </w:rPr>
        <w:t>p</w:t>
      </w:r>
      <w:r>
        <w:rPr>
          <w:rFonts w:cstheme="minorHAnsi"/>
        </w:rPr>
        <w:t>p</w:t>
      </w:r>
      <w:r w:rsidRPr="008318E1">
        <w:rPr>
          <w:rFonts w:cstheme="minorHAnsi"/>
        </w:rPr>
        <w:t>. 7</w:t>
      </w:r>
      <w:r>
        <w:rPr>
          <w:rFonts w:cstheme="minorHAnsi"/>
        </w:rPr>
        <w:t>.</w:t>
      </w:r>
    </w:p>
  </w:endnote>
  <w:endnote w:id="49">
    <w:p w14:paraId="780A7556" w14:textId="77777777" w:rsidR="00C53CA3" w:rsidRPr="00356200" w:rsidRDefault="00C53CA3" w:rsidP="008A5BCE">
      <w:pPr>
        <w:pStyle w:val="EndnoteText"/>
      </w:pPr>
      <w:r>
        <w:rPr>
          <w:rStyle w:val="EndnoteReference"/>
        </w:rPr>
        <w:endnoteRef/>
      </w:r>
      <w:r>
        <w:t xml:space="preserve"> Australian Services Union, </w:t>
      </w:r>
      <w:r>
        <w:rPr>
          <w:i/>
        </w:rPr>
        <w:t>Submission to the NDIS Review</w:t>
      </w:r>
      <w:r>
        <w:t xml:space="preserve">, p. 22-23; Health Services Union 2023, </w:t>
      </w:r>
      <w:r>
        <w:rPr>
          <w:i/>
        </w:rPr>
        <w:t xml:space="preserve">Submission to the NDIS Review, </w:t>
      </w:r>
      <w:r>
        <w:t>2022, pp. 5.</w:t>
      </w:r>
    </w:p>
  </w:endnote>
  <w:endnote w:id="50">
    <w:p w14:paraId="44445FA6" w14:textId="77777777" w:rsidR="00C53CA3" w:rsidRPr="008318E1" w:rsidRDefault="00C53CA3" w:rsidP="008A5BCE">
      <w:pPr>
        <w:pStyle w:val="EndnoteText"/>
        <w:rPr>
          <w:rFonts w:cstheme="minorHAnsi"/>
        </w:rPr>
      </w:pPr>
      <w:r w:rsidRPr="008318E1">
        <w:rPr>
          <w:rStyle w:val="EndnoteReference"/>
          <w:rFonts w:cstheme="minorHAnsi"/>
        </w:rPr>
        <w:endnoteRef/>
      </w:r>
      <w:r w:rsidRPr="008318E1">
        <w:rPr>
          <w:rFonts w:cstheme="minorHAnsi"/>
        </w:rPr>
        <w:t xml:space="preserve"> </w:t>
      </w:r>
      <w:r w:rsidRPr="003E2527">
        <w:t xml:space="preserve">National Disability Insurance Agency </w:t>
      </w:r>
      <w:r>
        <w:t>(</w:t>
      </w:r>
      <w:r w:rsidRPr="003E2527">
        <w:t>NDIA</w:t>
      </w:r>
      <w:r>
        <w:t>)</w:t>
      </w:r>
      <w:r w:rsidRPr="008318E1">
        <w:rPr>
          <w:rFonts w:cstheme="minorHAnsi"/>
        </w:rPr>
        <w:t xml:space="preserve">, </w:t>
      </w:r>
      <w:r w:rsidRPr="00381CBC">
        <w:rPr>
          <w:rFonts w:cstheme="minorHAnsi"/>
          <w:i/>
        </w:rPr>
        <w:t>2021-22 Annual Pricing Review – Final Report</w:t>
      </w:r>
      <w:r w:rsidRPr="008318E1">
        <w:rPr>
          <w:rFonts w:cstheme="minorHAnsi"/>
        </w:rPr>
        <w:t>, 2021</w:t>
      </w:r>
      <w:r>
        <w:rPr>
          <w:rFonts w:cstheme="minorHAnsi"/>
        </w:rPr>
        <w:t xml:space="preserve">, </w:t>
      </w:r>
      <w:r w:rsidRPr="008318E1">
        <w:rPr>
          <w:rFonts w:cstheme="minorHAnsi"/>
        </w:rPr>
        <w:t>pp. 121</w:t>
      </w:r>
      <w:r>
        <w:rPr>
          <w:rFonts w:cstheme="minorHAnsi"/>
        </w:rPr>
        <w:t>.</w:t>
      </w:r>
    </w:p>
  </w:endnote>
  <w:endnote w:id="51">
    <w:p w14:paraId="0E164371" w14:textId="77777777" w:rsidR="00C53CA3" w:rsidRPr="008318E1" w:rsidRDefault="00C53CA3" w:rsidP="008A5BCE">
      <w:pPr>
        <w:pStyle w:val="EndnoteText"/>
        <w:rPr>
          <w:rFonts w:cstheme="minorHAnsi"/>
        </w:rPr>
      </w:pPr>
      <w:r w:rsidRPr="008318E1">
        <w:rPr>
          <w:rStyle w:val="EndnoteReference"/>
          <w:rFonts w:cstheme="minorHAnsi"/>
        </w:rPr>
        <w:endnoteRef/>
      </w:r>
      <w:r w:rsidRPr="008318E1">
        <w:rPr>
          <w:rFonts w:cstheme="minorHAnsi"/>
        </w:rPr>
        <w:t xml:space="preserve"> </w:t>
      </w:r>
      <w:r w:rsidRPr="003E2527">
        <w:t xml:space="preserve">National Disability Insurance Agency </w:t>
      </w:r>
      <w:r>
        <w:t>(</w:t>
      </w:r>
      <w:r w:rsidRPr="003E2527">
        <w:t>NDIA</w:t>
      </w:r>
      <w:r>
        <w:t>)</w:t>
      </w:r>
      <w:r w:rsidRPr="008318E1">
        <w:rPr>
          <w:rFonts w:cstheme="minorHAnsi"/>
        </w:rPr>
        <w:t xml:space="preserve">, </w:t>
      </w:r>
      <w:r w:rsidRPr="00BF5493">
        <w:rPr>
          <w:rFonts w:cstheme="minorHAnsi"/>
          <w:i/>
        </w:rPr>
        <w:t>Pricing Arrangements and Price Limits 2022-23</w:t>
      </w:r>
      <w:r>
        <w:rPr>
          <w:rFonts w:cstheme="minorHAnsi"/>
        </w:rPr>
        <w:t xml:space="preserve">, </w:t>
      </w:r>
      <w:r w:rsidRPr="008318E1">
        <w:rPr>
          <w:rFonts w:cstheme="minorHAnsi"/>
        </w:rPr>
        <w:t>2022</w:t>
      </w:r>
      <w:r>
        <w:rPr>
          <w:rFonts w:cstheme="minorHAnsi"/>
        </w:rPr>
        <w:t>.</w:t>
      </w:r>
    </w:p>
  </w:endnote>
  <w:endnote w:id="52">
    <w:p w14:paraId="0725FB41" w14:textId="77777777" w:rsidR="00C53CA3" w:rsidRPr="008318E1" w:rsidRDefault="00C53CA3" w:rsidP="008A5BCE">
      <w:pPr>
        <w:pStyle w:val="EndnoteText"/>
        <w:rPr>
          <w:rFonts w:cstheme="minorHAnsi"/>
        </w:rPr>
      </w:pPr>
      <w:r w:rsidRPr="008318E1">
        <w:rPr>
          <w:rStyle w:val="EndnoteReference"/>
          <w:rFonts w:cstheme="minorHAnsi"/>
        </w:rPr>
        <w:endnoteRef/>
      </w:r>
      <w:r w:rsidRPr="008318E1">
        <w:rPr>
          <w:rFonts w:cstheme="minorHAnsi"/>
        </w:rPr>
        <w:t xml:space="preserve"> NDIS Review analysis of 2021-22 </w:t>
      </w:r>
      <w:r w:rsidRPr="003E2527">
        <w:t xml:space="preserve">National Disability Insurance Agency </w:t>
      </w:r>
      <w:r>
        <w:t>(</w:t>
      </w:r>
      <w:r w:rsidRPr="003E2527">
        <w:t>NDIA</w:t>
      </w:r>
      <w:r>
        <w:t xml:space="preserve">) </w:t>
      </w:r>
      <w:r w:rsidRPr="008318E1">
        <w:rPr>
          <w:rFonts w:cstheme="minorHAnsi"/>
        </w:rPr>
        <w:t xml:space="preserve">budget data. The support category </w:t>
      </w:r>
      <w:r w:rsidRPr="008318E1">
        <w:rPr>
          <w:rFonts w:cstheme="minorHAnsi"/>
          <w:i/>
        </w:rPr>
        <w:t>Capacity Building Daily Activity</w:t>
      </w:r>
      <w:r w:rsidRPr="008318E1">
        <w:rPr>
          <w:rFonts w:cstheme="minorHAnsi"/>
        </w:rPr>
        <w:t xml:space="preserve"> was used as a proxy for therapy supports.</w:t>
      </w:r>
    </w:p>
  </w:endnote>
  <w:endnote w:id="53">
    <w:p w14:paraId="57249EBD" w14:textId="77777777" w:rsidR="00C53CA3" w:rsidRPr="008318E1" w:rsidRDefault="00C53CA3" w:rsidP="008A5BCE">
      <w:pPr>
        <w:pStyle w:val="EndnoteText"/>
        <w:rPr>
          <w:rFonts w:cstheme="minorHAnsi"/>
        </w:rPr>
      </w:pPr>
      <w:r w:rsidRPr="008318E1">
        <w:rPr>
          <w:rStyle w:val="EndnoteReference"/>
          <w:rFonts w:cstheme="minorHAnsi"/>
        </w:rPr>
        <w:endnoteRef/>
      </w:r>
      <w:r w:rsidRPr="008318E1">
        <w:rPr>
          <w:rFonts w:cstheme="minorHAnsi"/>
        </w:rPr>
        <w:t xml:space="preserve"> </w:t>
      </w:r>
      <w:r w:rsidRPr="005671C1">
        <w:rPr>
          <w:rFonts w:cstheme="minorHAnsi"/>
        </w:rPr>
        <w:t>National Disability Insurance Agency (NDIA) unpublished analys</w:t>
      </w:r>
      <w:r>
        <w:rPr>
          <w:rFonts w:cstheme="minorHAnsi"/>
        </w:rPr>
        <w:t>is of NDIS administration data</w:t>
      </w:r>
      <w:r w:rsidRPr="008318E1">
        <w:rPr>
          <w:rFonts w:cstheme="minorHAnsi"/>
        </w:rPr>
        <w:t>. Excludes therapy supports delivered to self-managed participants.</w:t>
      </w:r>
    </w:p>
  </w:endnote>
  <w:endnote w:id="54">
    <w:p w14:paraId="32EAA65B" w14:textId="77777777" w:rsidR="00C53CA3" w:rsidRPr="008318E1" w:rsidRDefault="00C53CA3" w:rsidP="008A5BCE">
      <w:pPr>
        <w:pStyle w:val="EndnoteText"/>
        <w:rPr>
          <w:rFonts w:cstheme="minorHAnsi"/>
        </w:rPr>
      </w:pPr>
      <w:r w:rsidRPr="008318E1">
        <w:rPr>
          <w:rStyle w:val="EndnoteReference"/>
          <w:rFonts w:cstheme="minorHAnsi"/>
        </w:rPr>
        <w:endnoteRef/>
      </w:r>
      <w:r w:rsidRPr="008318E1">
        <w:rPr>
          <w:rFonts w:cstheme="minorHAnsi"/>
        </w:rPr>
        <w:t xml:space="preserve"> </w:t>
      </w:r>
      <w:r w:rsidRPr="008318E1">
        <w:rPr>
          <w:rStyle w:val="ui-provider"/>
          <w:rFonts w:cstheme="minorHAnsi"/>
        </w:rPr>
        <w:t xml:space="preserve">Submission 325 to the NDIS Review’s </w:t>
      </w:r>
      <w:r w:rsidRPr="008318E1">
        <w:rPr>
          <w:rStyle w:val="ui-provider"/>
          <w:rFonts w:cstheme="minorHAnsi"/>
          <w:i/>
          <w:iCs/>
        </w:rPr>
        <w:t>Have your Say</w:t>
      </w:r>
      <w:r w:rsidRPr="008318E1">
        <w:rPr>
          <w:rStyle w:val="ui-provider"/>
          <w:rFonts w:cstheme="minorHAnsi"/>
        </w:rPr>
        <w:t xml:space="preserve"> survey</w:t>
      </w:r>
      <w:r>
        <w:rPr>
          <w:rStyle w:val="ui-provider"/>
          <w:rFonts w:cstheme="minorHAnsi"/>
        </w:rPr>
        <w:t>.</w:t>
      </w:r>
    </w:p>
  </w:endnote>
  <w:endnote w:id="55">
    <w:p w14:paraId="6EFCC7E6" w14:textId="77777777" w:rsidR="00C53CA3" w:rsidRPr="008318E1" w:rsidRDefault="00C53CA3" w:rsidP="008A5BCE">
      <w:pPr>
        <w:pStyle w:val="EndnoteText"/>
        <w:rPr>
          <w:rFonts w:cstheme="minorHAnsi"/>
        </w:rPr>
      </w:pPr>
      <w:r w:rsidRPr="008318E1">
        <w:rPr>
          <w:rStyle w:val="EndnoteReference"/>
          <w:rFonts w:cstheme="minorHAnsi"/>
        </w:rPr>
        <w:endnoteRef/>
      </w:r>
      <w:r w:rsidRPr="008318E1">
        <w:rPr>
          <w:rFonts w:cstheme="minorHAnsi"/>
        </w:rPr>
        <w:t xml:space="preserve"> </w:t>
      </w:r>
      <w:r w:rsidRPr="008318E1">
        <w:rPr>
          <w:rStyle w:val="ui-provider"/>
          <w:rFonts w:cstheme="minorHAnsi"/>
        </w:rPr>
        <w:t xml:space="preserve">Submission 413 to the NDIS Review’s </w:t>
      </w:r>
      <w:r w:rsidRPr="008318E1">
        <w:rPr>
          <w:rStyle w:val="ui-provider"/>
          <w:rFonts w:cstheme="minorHAnsi"/>
          <w:i/>
          <w:iCs/>
        </w:rPr>
        <w:t>Have your Say</w:t>
      </w:r>
      <w:r w:rsidRPr="008318E1">
        <w:rPr>
          <w:rStyle w:val="ui-provider"/>
          <w:rFonts w:cstheme="minorHAnsi"/>
        </w:rPr>
        <w:t xml:space="preserve"> survey</w:t>
      </w:r>
      <w:r>
        <w:rPr>
          <w:rStyle w:val="ui-provider"/>
          <w:rFonts w:cstheme="minorHAnsi"/>
        </w:rPr>
        <w:t>.</w:t>
      </w:r>
    </w:p>
  </w:endnote>
  <w:endnote w:id="56">
    <w:p w14:paraId="728DB066" w14:textId="77777777" w:rsidR="00C53CA3" w:rsidRDefault="00C53CA3" w:rsidP="008A5BCE">
      <w:pPr>
        <w:pStyle w:val="EndnoteText"/>
      </w:pPr>
      <w:r>
        <w:rPr>
          <w:rStyle w:val="EndnoteReference"/>
        </w:rPr>
        <w:endnoteRef/>
      </w:r>
      <w:r>
        <w:t xml:space="preserve"> </w:t>
      </w:r>
      <w:r w:rsidRPr="00E11EAA">
        <w:t xml:space="preserve">Physical Disability Australia, </w:t>
      </w:r>
      <w:r w:rsidRPr="00BF5493">
        <w:rPr>
          <w:i/>
        </w:rPr>
        <w:t>Submission to the NDIS Review</w:t>
      </w:r>
      <w:r>
        <w:rPr>
          <w:rFonts w:ascii="Segoe UI" w:hAnsi="Segoe UI" w:cs="Segoe UI"/>
        </w:rPr>
        <w:t xml:space="preserve">, </w:t>
      </w:r>
      <w:r w:rsidRPr="00E11EAA">
        <w:t>2023</w:t>
      </w:r>
      <w:r>
        <w:t xml:space="preserve">, </w:t>
      </w:r>
      <w:r>
        <w:rPr>
          <w:rFonts w:ascii="Segoe UI" w:hAnsi="Segoe UI" w:cs="Segoe UI"/>
        </w:rPr>
        <w:t>pp. 2</w:t>
      </w:r>
      <w:r>
        <w:t>.</w:t>
      </w:r>
    </w:p>
  </w:endnote>
  <w:endnote w:id="57">
    <w:p w14:paraId="40B51DFC" w14:textId="77777777" w:rsidR="00C53CA3" w:rsidRPr="008318E1" w:rsidRDefault="00C53CA3" w:rsidP="008A5BCE">
      <w:pPr>
        <w:pStyle w:val="EndnoteText"/>
        <w:rPr>
          <w:rFonts w:cstheme="minorHAnsi"/>
        </w:rPr>
      </w:pPr>
      <w:r w:rsidRPr="008318E1">
        <w:rPr>
          <w:rStyle w:val="EndnoteReference"/>
          <w:rFonts w:cstheme="minorHAnsi"/>
        </w:rPr>
        <w:endnoteRef/>
      </w:r>
      <w:r w:rsidRPr="008318E1">
        <w:rPr>
          <w:rFonts w:cstheme="minorHAnsi"/>
        </w:rPr>
        <w:t xml:space="preserve"> </w:t>
      </w:r>
      <w:r w:rsidRPr="008318E1">
        <w:rPr>
          <w:rStyle w:val="ui-provider"/>
          <w:rFonts w:cstheme="minorHAnsi"/>
        </w:rPr>
        <w:t xml:space="preserve">Submission 371 to the NDIS Review’s </w:t>
      </w:r>
      <w:r w:rsidRPr="008318E1">
        <w:rPr>
          <w:rStyle w:val="ui-provider"/>
          <w:rFonts w:cstheme="minorHAnsi"/>
          <w:i/>
          <w:iCs/>
        </w:rPr>
        <w:t>Have your Say</w:t>
      </w:r>
      <w:r w:rsidRPr="008318E1">
        <w:rPr>
          <w:rStyle w:val="ui-provider"/>
          <w:rFonts w:cstheme="minorHAnsi"/>
        </w:rPr>
        <w:t xml:space="preserve"> survey</w:t>
      </w:r>
      <w:r>
        <w:rPr>
          <w:rStyle w:val="ui-provider"/>
          <w:rFonts w:cstheme="minorHAnsi"/>
        </w:rPr>
        <w:t>.</w:t>
      </w:r>
    </w:p>
  </w:endnote>
  <w:endnote w:id="58">
    <w:p w14:paraId="7F4C19CB" w14:textId="77777777" w:rsidR="00C53CA3" w:rsidRPr="008318E1" w:rsidRDefault="00C53CA3" w:rsidP="008A5BCE">
      <w:pPr>
        <w:pStyle w:val="EndnoteText"/>
        <w:rPr>
          <w:rFonts w:cstheme="minorHAnsi"/>
        </w:rPr>
      </w:pPr>
      <w:r w:rsidRPr="008318E1">
        <w:rPr>
          <w:rStyle w:val="EndnoteReference"/>
          <w:rFonts w:cstheme="minorHAnsi"/>
        </w:rPr>
        <w:endnoteRef/>
      </w:r>
      <w:r w:rsidRPr="008318E1">
        <w:rPr>
          <w:rFonts w:cstheme="minorHAnsi"/>
        </w:rPr>
        <w:t xml:space="preserve"> </w:t>
      </w:r>
      <w:r w:rsidRPr="0081509B">
        <w:rPr>
          <w:rFonts w:cstheme="minorHAnsi"/>
        </w:rPr>
        <w:t>Australian Competition and Consumer Commission</w:t>
      </w:r>
      <w:r>
        <w:rPr>
          <w:rFonts w:cstheme="minorHAnsi"/>
        </w:rPr>
        <w:t xml:space="preserve"> (</w:t>
      </w:r>
      <w:r w:rsidRPr="008318E1">
        <w:rPr>
          <w:rFonts w:cstheme="minorHAnsi"/>
        </w:rPr>
        <w:t>ACCC</w:t>
      </w:r>
      <w:r>
        <w:rPr>
          <w:rFonts w:cstheme="minorHAnsi"/>
        </w:rPr>
        <w:t>),</w:t>
      </w:r>
      <w:r w:rsidRPr="008318E1">
        <w:rPr>
          <w:rFonts w:cstheme="minorHAnsi"/>
        </w:rPr>
        <w:t xml:space="preserve"> </w:t>
      </w:r>
      <w:r w:rsidRPr="00467D53">
        <w:rPr>
          <w:rFonts w:cstheme="minorHAnsi"/>
          <w:i/>
        </w:rPr>
        <w:t>Setting prices: what's allowed</w:t>
      </w:r>
      <w:r>
        <w:rPr>
          <w:rFonts w:cstheme="minorHAnsi"/>
        </w:rPr>
        <w:t xml:space="preserve">, </w:t>
      </w:r>
      <w:r w:rsidRPr="008318E1">
        <w:rPr>
          <w:rFonts w:cstheme="minorHAnsi"/>
        </w:rPr>
        <w:t>2023</w:t>
      </w:r>
      <w:r>
        <w:rPr>
          <w:rFonts w:cstheme="minorHAnsi"/>
        </w:rPr>
        <w:t xml:space="preserve">. </w:t>
      </w:r>
      <w:hyperlink r:id="rId6" w:history="1">
        <w:r w:rsidRPr="00BF5493">
          <w:rPr>
            <w:rStyle w:val="Hyperlink"/>
            <w:rFonts w:asciiTheme="minorHAnsi" w:hAnsiTheme="minorHAnsi"/>
            <w:sz w:val="20"/>
          </w:rPr>
          <w:t>www.accc.gov.au/business/pricing/setting-prices-whats-allowed</w:t>
        </w:r>
      </w:hyperlink>
    </w:p>
  </w:endnote>
  <w:endnote w:id="59">
    <w:p w14:paraId="25868B5E" w14:textId="77777777" w:rsidR="00C53CA3" w:rsidRPr="008318E1" w:rsidRDefault="00C53CA3" w:rsidP="008A5BCE">
      <w:pPr>
        <w:pStyle w:val="EndnoteText"/>
        <w:rPr>
          <w:rFonts w:cstheme="minorHAnsi"/>
        </w:rPr>
      </w:pPr>
      <w:r w:rsidRPr="008318E1">
        <w:rPr>
          <w:rStyle w:val="EndnoteReference"/>
          <w:rFonts w:cstheme="minorHAnsi"/>
        </w:rPr>
        <w:endnoteRef/>
      </w:r>
      <w:r w:rsidRPr="008318E1">
        <w:rPr>
          <w:rFonts w:cstheme="minorHAnsi"/>
        </w:rPr>
        <w:t xml:space="preserve"> </w:t>
      </w:r>
      <w:r w:rsidRPr="002E6EB6">
        <w:rPr>
          <w:rFonts w:cstheme="minorHAnsi"/>
        </w:rPr>
        <w:t>National Di</w:t>
      </w:r>
      <w:r>
        <w:rPr>
          <w:rFonts w:cstheme="minorHAnsi"/>
        </w:rPr>
        <w:t>sability Insurance Agency (</w:t>
      </w:r>
      <w:r>
        <w:t xml:space="preserve">NDIA) unpublished analysis of NDIS administration data. </w:t>
      </w:r>
      <w:r>
        <w:rPr>
          <w:rFonts w:cstheme="minorHAnsi"/>
        </w:rPr>
        <w:t>Transactions are considered to be a</w:t>
      </w:r>
      <w:r w:rsidRPr="008318E1">
        <w:rPr>
          <w:rFonts w:cstheme="minorHAnsi"/>
        </w:rPr>
        <w:t xml:space="preserve">t </w:t>
      </w:r>
      <w:r>
        <w:rPr>
          <w:rFonts w:cstheme="minorHAnsi"/>
        </w:rPr>
        <w:t>or close to the price cap if the price charged is within</w:t>
      </w:r>
      <w:r w:rsidRPr="008318E1">
        <w:rPr>
          <w:rFonts w:cstheme="minorHAnsi"/>
        </w:rPr>
        <w:t xml:space="preserve"> </w:t>
      </w:r>
      <w:r>
        <w:rPr>
          <w:rFonts w:cstheme="minorHAnsi"/>
        </w:rPr>
        <w:t xml:space="preserve">95% to </w:t>
      </w:r>
      <w:r w:rsidRPr="008318E1">
        <w:rPr>
          <w:rFonts w:cstheme="minorHAnsi"/>
        </w:rPr>
        <w:t>100</w:t>
      </w:r>
      <w:r>
        <w:rPr>
          <w:rFonts w:eastAsia="Times New Roman"/>
          <w:lang w:eastAsia="en-AU"/>
        </w:rPr>
        <w:t>%</w:t>
      </w:r>
      <w:r w:rsidRPr="008318E1">
        <w:rPr>
          <w:rFonts w:cstheme="minorHAnsi"/>
        </w:rPr>
        <w:t xml:space="preserve"> of the price cap.</w:t>
      </w:r>
      <w:r>
        <w:rPr>
          <w:rFonts w:cstheme="minorHAnsi"/>
        </w:rPr>
        <w:t xml:space="preserve"> </w:t>
      </w:r>
      <w:r w:rsidRPr="008318E1">
        <w:rPr>
          <w:rFonts w:cstheme="minorHAnsi"/>
        </w:rPr>
        <w:t>Excludes therapy supports delivered to self</w:t>
      </w:r>
      <w:r>
        <w:rPr>
          <w:rFonts w:cstheme="minorHAnsi"/>
        </w:rPr>
        <w:noBreakHyphen/>
      </w:r>
      <w:r w:rsidRPr="008318E1">
        <w:rPr>
          <w:rFonts w:cstheme="minorHAnsi"/>
        </w:rPr>
        <w:t>managed participants</w:t>
      </w:r>
      <w:r>
        <w:rPr>
          <w:rFonts w:cstheme="minorHAnsi"/>
        </w:rPr>
        <w:t xml:space="preserve"> and </w:t>
      </w:r>
      <w:r w:rsidRPr="001C55E2">
        <w:rPr>
          <w:rFonts w:cstheme="minorHAnsi"/>
        </w:rPr>
        <w:t>services that are not price controlled</w:t>
      </w:r>
      <w:r w:rsidRPr="008318E1">
        <w:rPr>
          <w:rFonts w:cstheme="minorHAnsi"/>
        </w:rPr>
        <w:t xml:space="preserve">. </w:t>
      </w:r>
    </w:p>
  </w:endnote>
  <w:endnote w:id="60">
    <w:p w14:paraId="359D4A20" w14:textId="77777777" w:rsidR="00C53CA3" w:rsidRPr="008318E1" w:rsidRDefault="00C53CA3" w:rsidP="008A5BCE">
      <w:pPr>
        <w:pStyle w:val="EndnoteText"/>
        <w:rPr>
          <w:rFonts w:cstheme="minorHAnsi"/>
        </w:rPr>
      </w:pPr>
      <w:r w:rsidRPr="008318E1">
        <w:rPr>
          <w:rStyle w:val="EndnoteReference"/>
          <w:rFonts w:cstheme="minorHAnsi"/>
        </w:rPr>
        <w:endnoteRef/>
      </w:r>
      <w:r w:rsidRPr="008318E1">
        <w:rPr>
          <w:rFonts w:cstheme="minorHAnsi"/>
        </w:rPr>
        <w:t xml:space="preserve"> </w:t>
      </w:r>
      <w:r w:rsidRPr="00972B4D">
        <w:rPr>
          <w:rFonts w:cstheme="minorHAnsi"/>
        </w:rPr>
        <w:t>A</w:t>
      </w:r>
      <w:r>
        <w:rPr>
          <w:rFonts w:cstheme="minorHAnsi"/>
        </w:rPr>
        <w:t xml:space="preserve"> </w:t>
      </w:r>
      <w:r w:rsidRPr="00972B4D">
        <w:rPr>
          <w:rFonts w:cstheme="minorHAnsi"/>
        </w:rPr>
        <w:t>survey by the NDIS Commission of audit costs charged to registered NDIS providers by approved quality auditors in November 2022 found the median cost of a verification audit was $935</w:t>
      </w:r>
      <w:r w:rsidRPr="008318E1">
        <w:rPr>
          <w:rFonts w:cstheme="minorHAnsi"/>
        </w:rPr>
        <w:t>.</w:t>
      </w:r>
    </w:p>
  </w:endnote>
  <w:endnote w:id="61">
    <w:p w14:paraId="6E317135" w14:textId="77777777" w:rsidR="00C53CA3" w:rsidRPr="008318E1" w:rsidDel="009F23A8" w:rsidRDefault="00C53CA3" w:rsidP="008A5BCE">
      <w:pPr>
        <w:pStyle w:val="EndnoteText"/>
        <w:rPr>
          <w:rFonts w:cstheme="minorHAnsi"/>
        </w:rPr>
      </w:pPr>
      <w:r w:rsidRPr="008318E1">
        <w:rPr>
          <w:rStyle w:val="EndnoteReference"/>
          <w:rFonts w:cstheme="minorHAnsi"/>
        </w:rPr>
        <w:endnoteRef/>
      </w:r>
      <w:r w:rsidRPr="008318E1">
        <w:rPr>
          <w:rFonts w:cstheme="minorHAnsi"/>
        </w:rPr>
        <w:t xml:space="preserve"> </w:t>
      </w:r>
      <w:r w:rsidRPr="00972B4D">
        <w:rPr>
          <w:rFonts w:cstheme="minorHAnsi"/>
        </w:rPr>
        <w:t>A survey by the NDIS Commission of audit costs charged to registered NDIS providers by approved quality auditors in November 2022 found the median cost of a certification audit was $3,003</w:t>
      </w:r>
      <w:r w:rsidRPr="008318E1">
        <w:rPr>
          <w:rFonts w:cstheme="minorHAnsi"/>
        </w:rPr>
        <w:t>.</w:t>
      </w:r>
    </w:p>
  </w:endnote>
  <w:endnote w:id="62">
    <w:p w14:paraId="79D0F84F" w14:textId="77777777" w:rsidR="00C53CA3" w:rsidRPr="008318E1" w:rsidRDefault="00C53CA3" w:rsidP="008A5BCE">
      <w:pPr>
        <w:pStyle w:val="EndnoteText"/>
        <w:rPr>
          <w:rFonts w:cstheme="minorHAnsi"/>
        </w:rPr>
      </w:pPr>
      <w:r w:rsidRPr="008318E1">
        <w:rPr>
          <w:rStyle w:val="EndnoteReference"/>
          <w:rFonts w:cstheme="minorHAnsi"/>
        </w:rPr>
        <w:endnoteRef/>
      </w:r>
      <w:r w:rsidRPr="008318E1">
        <w:rPr>
          <w:rFonts w:cstheme="minorHAnsi"/>
        </w:rPr>
        <w:t xml:space="preserve"> </w:t>
      </w:r>
      <w:r w:rsidRPr="008318E1">
        <w:rPr>
          <w:rStyle w:val="ui-provider"/>
          <w:rFonts w:cstheme="minorHAnsi"/>
        </w:rPr>
        <w:t xml:space="preserve">Submission 235 to the NDIS Review’s </w:t>
      </w:r>
      <w:r w:rsidRPr="008318E1">
        <w:rPr>
          <w:rStyle w:val="ui-provider"/>
          <w:rFonts w:cstheme="minorHAnsi"/>
          <w:i/>
          <w:iCs/>
        </w:rPr>
        <w:t>Have your Say</w:t>
      </w:r>
      <w:r w:rsidRPr="008318E1">
        <w:rPr>
          <w:rStyle w:val="ui-provider"/>
          <w:rFonts w:cstheme="minorHAnsi"/>
        </w:rPr>
        <w:t xml:space="preserve"> survey.</w:t>
      </w:r>
    </w:p>
  </w:endnote>
  <w:endnote w:id="63">
    <w:p w14:paraId="60D2EADB" w14:textId="77777777" w:rsidR="00C53CA3" w:rsidRPr="008318E1" w:rsidRDefault="00C53CA3" w:rsidP="00F61E68">
      <w:pPr>
        <w:pStyle w:val="EndnoteText"/>
        <w:rPr>
          <w:rFonts w:cstheme="minorHAnsi"/>
        </w:rPr>
      </w:pPr>
      <w:r w:rsidRPr="008318E1">
        <w:rPr>
          <w:rStyle w:val="EndnoteReference"/>
          <w:rFonts w:cstheme="minorHAnsi"/>
        </w:rPr>
        <w:endnoteRef/>
      </w:r>
      <w:r w:rsidRPr="008318E1">
        <w:rPr>
          <w:rFonts w:cstheme="minorHAnsi"/>
        </w:rPr>
        <w:t xml:space="preserve"> Get Skilled Access, </w:t>
      </w:r>
      <w:r w:rsidRPr="008318E1">
        <w:rPr>
          <w:rFonts w:cstheme="minorHAnsi"/>
          <w:i/>
        </w:rPr>
        <w:t>NDIS 2.0 A disability-led plan for the NDIS</w:t>
      </w:r>
      <w:r>
        <w:rPr>
          <w:rFonts w:cstheme="minorHAnsi"/>
        </w:rPr>
        <w:t>, 2022, pp. 21.</w:t>
      </w:r>
    </w:p>
  </w:endnote>
  <w:endnote w:id="64">
    <w:p w14:paraId="1688ACA7" w14:textId="77777777" w:rsidR="00C53CA3" w:rsidRPr="008318E1" w:rsidRDefault="00C53CA3" w:rsidP="00F61E68">
      <w:pPr>
        <w:pStyle w:val="EndnoteText"/>
        <w:rPr>
          <w:rFonts w:cstheme="minorHAnsi"/>
        </w:rPr>
      </w:pPr>
      <w:r w:rsidRPr="008318E1">
        <w:rPr>
          <w:rStyle w:val="EndnoteReference"/>
          <w:rFonts w:cstheme="minorHAnsi"/>
        </w:rPr>
        <w:endnoteRef/>
      </w:r>
      <w:r w:rsidRPr="008318E1">
        <w:rPr>
          <w:rFonts w:cstheme="minorHAnsi"/>
        </w:rPr>
        <w:t xml:space="preserve"> Productivity Commission, </w:t>
      </w:r>
      <w:r w:rsidRPr="006978B5">
        <w:rPr>
          <w:rFonts w:cstheme="minorHAnsi"/>
          <w:i/>
        </w:rPr>
        <w:t>Reforms to Human Services</w:t>
      </w:r>
      <w:r>
        <w:rPr>
          <w:rFonts w:cstheme="minorHAnsi"/>
          <w:i/>
        </w:rPr>
        <w:t xml:space="preserve"> – Inquiry Report</w:t>
      </w:r>
      <w:r>
        <w:rPr>
          <w:rFonts w:cstheme="minorHAnsi"/>
        </w:rPr>
        <w:t xml:space="preserve">, </w:t>
      </w:r>
      <w:r w:rsidRPr="008318E1">
        <w:rPr>
          <w:rFonts w:cstheme="minorHAnsi"/>
        </w:rPr>
        <w:t>2018</w:t>
      </w:r>
      <w:r>
        <w:rPr>
          <w:rFonts w:cstheme="minorHAnsi"/>
        </w:rPr>
        <w:t xml:space="preserve">. </w:t>
      </w:r>
      <w:hyperlink r:id="rId7" w:anchor="report" w:history="1">
        <w:r w:rsidRPr="00387564">
          <w:rPr>
            <w:rStyle w:val="Hyperlink"/>
            <w:rFonts w:asciiTheme="minorHAnsi" w:hAnsiTheme="minorHAnsi" w:cstheme="minorHAnsi"/>
            <w:sz w:val="20"/>
          </w:rPr>
          <w:t>https://www.pc.gov.au/inquiries/completed/human-services/reforms#report</w:t>
        </w:r>
      </w:hyperlink>
    </w:p>
  </w:endnote>
  <w:endnote w:id="65">
    <w:p w14:paraId="14543506" w14:textId="77777777" w:rsidR="00C53CA3" w:rsidRDefault="00C53CA3" w:rsidP="00F61E68">
      <w:pPr>
        <w:pStyle w:val="EndnoteText"/>
      </w:pPr>
      <w:r>
        <w:rPr>
          <w:rStyle w:val="EndnoteReference"/>
        </w:rPr>
        <w:endnoteRef/>
      </w:r>
      <w:r>
        <w:t xml:space="preserve"> Productivity Commission, </w:t>
      </w:r>
      <w:r w:rsidRPr="00661C57">
        <w:rPr>
          <w:i/>
        </w:rPr>
        <w:t>Introducing Competition and Informed User Choice into Human Services: Reforms to Human Services</w:t>
      </w:r>
      <w:r>
        <w:t>, 2017, Report No. 85, Canberra, pp. 94.</w:t>
      </w:r>
    </w:p>
  </w:endnote>
  <w:endnote w:id="66">
    <w:p w14:paraId="7D82DD0D" w14:textId="77777777" w:rsidR="00C53CA3" w:rsidRDefault="00C53CA3" w:rsidP="00F61E68">
      <w:pPr>
        <w:pStyle w:val="EndnoteText"/>
      </w:pPr>
      <w:r>
        <w:rPr>
          <w:rStyle w:val="EndnoteReference"/>
        </w:rPr>
        <w:endnoteRef/>
      </w:r>
      <w:r>
        <w:t xml:space="preserve"> </w:t>
      </w:r>
      <w:r w:rsidRPr="008318E1">
        <w:rPr>
          <w:rFonts w:cstheme="minorHAnsi"/>
          <w:lang w:val="en-US"/>
        </w:rPr>
        <w:t xml:space="preserve">McKinsey &amp; Company 2018, </w:t>
      </w:r>
      <w:r w:rsidRPr="00BF5493">
        <w:rPr>
          <w:rFonts w:cstheme="minorHAnsi"/>
          <w:i/>
          <w:lang w:val="en-US"/>
        </w:rPr>
        <w:t>NDIA Independent Pricing Review</w:t>
      </w:r>
      <w:r w:rsidRPr="008318E1">
        <w:rPr>
          <w:rFonts w:cstheme="minorHAnsi"/>
          <w:lang w:val="en-US"/>
        </w:rPr>
        <w:t xml:space="preserve">, </w:t>
      </w:r>
      <w:r>
        <w:rPr>
          <w:rFonts w:cstheme="minorHAnsi"/>
          <w:lang w:val="en-US"/>
        </w:rPr>
        <w:t>p</w:t>
      </w:r>
      <w:r w:rsidRPr="008318E1">
        <w:rPr>
          <w:rFonts w:cstheme="minorHAnsi"/>
          <w:lang w:val="en-US"/>
        </w:rPr>
        <w:t>p. 7.</w:t>
      </w:r>
    </w:p>
  </w:endnote>
  <w:endnote w:id="67">
    <w:p w14:paraId="20672C91" w14:textId="77777777" w:rsidR="00C53CA3" w:rsidRPr="008318E1" w:rsidRDefault="00C53CA3" w:rsidP="00F61E68">
      <w:pPr>
        <w:pStyle w:val="EndnoteText"/>
        <w:rPr>
          <w:rFonts w:cstheme="minorHAnsi"/>
        </w:rPr>
      </w:pPr>
      <w:r w:rsidRPr="008318E1">
        <w:rPr>
          <w:rStyle w:val="EndnoteReference"/>
          <w:rFonts w:cstheme="minorHAnsi"/>
        </w:rPr>
        <w:endnoteRef/>
      </w:r>
      <w:r w:rsidRPr="008318E1">
        <w:rPr>
          <w:rFonts w:cstheme="minorHAnsi"/>
        </w:rPr>
        <w:t xml:space="preserve"> </w:t>
      </w:r>
      <w:r w:rsidRPr="0081509B">
        <w:rPr>
          <w:rFonts w:cstheme="minorHAnsi"/>
        </w:rPr>
        <w:t xml:space="preserve">NSW </w:t>
      </w:r>
      <w:r>
        <w:rPr>
          <w:rFonts w:cstheme="minorHAnsi"/>
        </w:rPr>
        <w:t xml:space="preserve">Office of Social Impact Investment, </w:t>
      </w:r>
      <w:r w:rsidRPr="00BF5493">
        <w:rPr>
          <w:rFonts w:cstheme="minorHAnsi"/>
          <w:i/>
        </w:rPr>
        <w:t>Evaluation of the Resilient Families Service – Final Report</w:t>
      </w:r>
      <w:r>
        <w:rPr>
          <w:rFonts w:cstheme="minorHAnsi"/>
        </w:rPr>
        <w:t xml:space="preserve">, 2020, pp. </w:t>
      </w:r>
      <w:r w:rsidRPr="00BF5493">
        <w:rPr>
          <w:rFonts w:cstheme="minorHAnsi"/>
          <w:lang w:val="en-US"/>
        </w:rPr>
        <w:t xml:space="preserve">44. </w:t>
      </w:r>
      <w:hyperlink r:id="rId8" w:history="1">
        <w:r w:rsidRPr="00BF5493">
          <w:rPr>
            <w:rStyle w:val="Hyperlink"/>
            <w:rFonts w:asciiTheme="minorHAnsi" w:hAnsiTheme="minorHAnsi"/>
            <w:sz w:val="20"/>
          </w:rPr>
          <w:t>https://www.osii.nsw.gov.au/assets/office-of-social-impact-investment/Evaluation-of-the-Resilient-Families-Service-Final-Evaluation-April-2020.pdf</w:t>
        </w:r>
      </w:hyperlink>
    </w:p>
  </w:endnote>
  <w:endnote w:id="68">
    <w:p w14:paraId="31257F6F" w14:textId="77777777" w:rsidR="00C53CA3" w:rsidRPr="008318E1" w:rsidRDefault="00C53CA3" w:rsidP="00F61E68">
      <w:pPr>
        <w:pStyle w:val="EndnoteText"/>
        <w:rPr>
          <w:rFonts w:cstheme="minorHAnsi"/>
        </w:rPr>
      </w:pPr>
      <w:r w:rsidRPr="008318E1">
        <w:rPr>
          <w:rStyle w:val="EndnoteReference"/>
          <w:rFonts w:cstheme="minorHAnsi"/>
        </w:rPr>
        <w:endnoteRef/>
      </w:r>
      <w:r w:rsidRPr="008318E1">
        <w:rPr>
          <w:rFonts w:cstheme="minorHAnsi"/>
        </w:rPr>
        <w:t xml:space="preserve"> Get Skilled Access, </w:t>
      </w:r>
      <w:r w:rsidRPr="008318E1">
        <w:rPr>
          <w:rFonts w:cstheme="minorHAnsi"/>
          <w:i/>
        </w:rPr>
        <w:t>NDIS 2.0 A disability-led plan for the NDIS</w:t>
      </w:r>
      <w:r>
        <w:rPr>
          <w:rFonts w:cstheme="minorHAnsi"/>
          <w:i/>
        </w:rPr>
        <w:t>,</w:t>
      </w:r>
      <w:r w:rsidRPr="008318E1">
        <w:rPr>
          <w:rFonts w:cstheme="minorHAnsi"/>
        </w:rPr>
        <w:t xml:space="preserve"> </w:t>
      </w:r>
      <w:r>
        <w:rPr>
          <w:rFonts w:cstheme="minorHAnsi"/>
        </w:rPr>
        <w:t>2022,</w:t>
      </w:r>
      <w:r w:rsidRPr="008318E1" w:rsidDel="006978B5">
        <w:rPr>
          <w:rFonts w:cstheme="minorHAnsi"/>
        </w:rPr>
        <w:t xml:space="preserve"> </w:t>
      </w:r>
      <w:r>
        <w:rPr>
          <w:rFonts w:cstheme="minorHAnsi"/>
        </w:rPr>
        <w:t>p</w:t>
      </w:r>
      <w:r w:rsidRPr="008318E1">
        <w:rPr>
          <w:rFonts w:cstheme="minorHAnsi"/>
        </w:rPr>
        <w:t>p. 21.</w:t>
      </w:r>
    </w:p>
  </w:endnote>
  <w:endnote w:id="69">
    <w:p w14:paraId="0696871D" w14:textId="77777777" w:rsidR="00C53CA3" w:rsidRPr="008318E1" w:rsidRDefault="00C53CA3" w:rsidP="00FE6B14">
      <w:pPr>
        <w:autoSpaceDE w:val="0"/>
        <w:autoSpaceDN w:val="0"/>
        <w:adjustRightInd w:val="0"/>
        <w:spacing w:after="0" w:line="240" w:lineRule="auto"/>
        <w:rPr>
          <w:rFonts w:cstheme="minorHAnsi"/>
          <w:sz w:val="20"/>
          <w:szCs w:val="20"/>
        </w:rPr>
      </w:pPr>
      <w:r w:rsidRPr="008318E1">
        <w:rPr>
          <w:rStyle w:val="EndnoteReference"/>
          <w:rFonts w:cstheme="minorHAnsi"/>
        </w:rPr>
        <w:endnoteRef/>
      </w:r>
      <w:r w:rsidRPr="008318E1">
        <w:rPr>
          <w:rFonts w:cstheme="minorHAnsi"/>
          <w:sz w:val="20"/>
          <w:szCs w:val="20"/>
        </w:rPr>
        <w:t xml:space="preserve"> Taylor B, F. R., Fowler T.</w:t>
      </w:r>
      <w:r>
        <w:rPr>
          <w:rFonts w:cstheme="minorHAnsi"/>
          <w:sz w:val="20"/>
          <w:szCs w:val="20"/>
        </w:rPr>
        <w:t>,</w:t>
      </w:r>
      <w:r w:rsidRPr="008318E1">
        <w:rPr>
          <w:rFonts w:cstheme="minorHAnsi"/>
          <w:sz w:val="20"/>
          <w:szCs w:val="20"/>
        </w:rPr>
        <w:t xml:space="preserve"> </w:t>
      </w:r>
      <w:r w:rsidRPr="00BF5493">
        <w:rPr>
          <w:rFonts w:cstheme="minorHAnsi"/>
          <w:i/>
          <w:sz w:val="20"/>
          <w:szCs w:val="20"/>
        </w:rPr>
        <w:t>Financial impact of a capitation matrix system on total knee and total hip arthroplasty</w:t>
      </w:r>
      <w:r>
        <w:rPr>
          <w:rFonts w:cstheme="minorHAnsi"/>
          <w:sz w:val="20"/>
          <w:szCs w:val="20"/>
        </w:rPr>
        <w:t>,</w:t>
      </w:r>
      <w:r w:rsidRPr="008318E1">
        <w:rPr>
          <w:rFonts w:cstheme="minorHAnsi"/>
          <w:sz w:val="20"/>
          <w:szCs w:val="20"/>
        </w:rPr>
        <w:t xml:space="preserve"> 2009</w:t>
      </w:r>
      <w:r>
        <w:rPr>
          <w:rFonts w:cstheme="minorHAnsi"/>
          <w:sz w:val="20"/>
          <w:szCs w:val="20"/>
        </w:rPr>
        <w:t xml:space="preserve">, </w:t>
      </w:r>
      <w:r w:rsidRPr="00BF5493">
        <w:rPr>
          <w:rFonts w:cstheme="minorHAnsi"/>
          <w:sz w:val="20"/>
          <w:szCs w:val="20"/>
        </w:rPr>
        <w:t>Arthroplasty Journal</w:t>
      </w:r>
      <w:r w:rsidRPr="008318E1">
        <w:rPr>
          <w:rFonts w:cstheme="minorHAnsi"/>
          <w:sz w:val="20"/>
          <w:szCs w:val="20"/>
        </w:rPr>
        <w:t xml:space="preserve"> </w:t>
      </w:r>
      <w:r w:rsidRPr="008318E1">
        <w:rPr>
          <w:rFonts w:cstheme="minorHAnsi"/>
          <w:bCs/>
          <w:sz w:val="20"/>
          <w:szCs w:val="20"/>
        </w:rPr>
        <w:t>24</w:t>
      </w:r>
      <w:r w:rsidRPr="008318E1">
        <w:rPr>
          <w:rFonts w:cstheme="minorHAnsi"/>
          <w:sz w:val="20"/>
          <w:szCs w:val="20"/>
        </w:rPr>
        <w:t>(5)</w:t>
      </w:r>
      <w:r>
        <w:rPr>
          <w:rFonts w:cstheme="minorHAnsi"/>
          <w:sz w:val="20"/>
          <w:szCs w:val="20"/>
        </w:rPr>
        <w:t>, pp.</w:t>
      </w:r>
      <w:r w:rsidRPr="008318E1">
        <w:rPr>
          <w:rFonts w:cstheme="minorHAnsi"/>
          <w:sz w:val="20"/>
          <w:szCs w:val="20"/>
        </w:rPr>
        <w:t xml:space="preserve"> 783-788.</w:t>
      </w:r>
    </w:p>
  </w:endnote>
  <w:endnote w:id="70">
    <w:p w14:paraId="57CA2971" w14:textId="77777777" w:rsidR="00C53CA3" w:rsidRPr="008318E1" w:rsidRDefault="00C53CA3" w:rsidP="00FE6B14">
      <w:pPr>
        <w:autoSpaceDE w:val="0"/>
        <w:autoSpaceDN w:val="0"/>
        <w:adjustRightInd w:val="0"/>
        <w:spacing w:after="0" w:line="240" w:lineRule="auto"/>
        <w:rPr>
          <w:rFonts w:cstheme="minorHAnsi"/>
          <w:sz w:val="20"/>
          <w:szCs w:val="20"/>
        </w:rPr>
      </w:pPr>
      <w:r w:rsidRPr="008318E1">
        <w:rPr>
          <w:rStyle w:val="EndnoteReference"/>
          <w:rFonts w:cstheme="minorHAnsi"/>
        </w:rPr>
        <w:endnoteRef/>
      </w:r>
      <w:r w:rsidRPr="008318E1">
        <w:rPr>
          <w:rFonts w:cstheme="minorHAnsi"/>
          <w:sz w:val="20"/>
          <w:szCs w:val="20"/>
        </w:rPr>
        <w:t xml:space="preserve"> </w:t>
      </w:r>
      <w:r w:rsidRPr="005819ED">
        <w:rPr>
          <w:rFonts w:cstheme="minorHAnsi"/>
          <w:sz w:val="20"/>
          <w:szCs w:val="20"/>
        </w:rPr>
        <w:t>Andas, Charlotte &amp; Östberg, Anna-Lena &amp; Berggren, Pontus &amp; Hakeberg, Magnus</w:t>
      </w:r>
      <w:r>
        <w:rPr>
          <w:rFonts w:cstheme="minorHAnsi"/>
          <w:sz w:val="20"/>
          <w:szCs w:val="20"/>
        </w:rPr>
        <w:t>,</w:t>
      </w:r>
      <w:r w:rsidRPr="008318E1">
        <w:rPr>
          <w:rFonts w:cstheme="minorHAnsi"/>
          <w:sz w:val="20"/>
          <w:szCs w:val="20"/>
        </w:rPr>
        <w:t xml:space="preserve"> </w:t>
      </w:r>
      <w:r w:rsidRPr="00BF5493">
        <w:rPr>
          <w:rFonts w:cstheme="minorHAnsi"/>
          <w:i/>
          <w:sz w:val="20"/>
          <w:szCs w:val="20"/>
        </w:rPr>
        <w:t>A new dental insurance scheme – effects on the treatment provided and costs</w:t>
      </w:r>
      <w:r>
        <w:rPr>
          <w:rFonts w:cstheme="minorHAnsi"/>
          <w:sz w:val="20"/>
          <w:szCs w:val="20"/>
        </w:rPr>
        <w:t>,</w:t>
      </w:r>
      <w:r w:rsidRPr="008318E1">
        <w:rPr>
          <w:rFonts w:cstheme="minorHAnsi"/>
          <w:sz w:val="20"/>
          <w:szCs w:val="20"/>
        </w:rPr>
        <w:t xml:space="preserve"> 2014</w:t>
      </w:r>
      <w:r>
        <w:rPr>
          <w:rFonts w:cstheme="minorHAnsi"/>
          <w:sz w:val="20"/>
          <w:szCs w:val="20"/>
        </w:rPr>
        <w:t xml:space="preserve">, </w:t>
      </w:r>
      <w:r w:rsidRPr="00BF5493">
        <w:rPr>
          <w:rFonts w:cstheme="minorHAnsi"/>
          <w:sz w:val="20"/>
          <w:szCs w:val="20"/>
        </w:rPr>
        <w:t>Swedish Dental Journal</w:t>
      </w:r>
      <w:r w:rsidRPr="008318E1">
        <w:rPr>
          <w:rFonts w:cstheme="minorHAnsi"/>
          <w:sz w:val="20"/>
          <w:szCs w:val="20"/>
        </w:rPr>
        <w:t xml:space="preserve"> 38(2)</w:t>
      </w:r>
      <w:r>
        <w:rPr>
          <w:rFonts w:cstheme="minorHAnsi"/>
          <w:sz w:val="20"/>
          <w:szCs w:val="20"/>
        </w:rPr>
        <w:t>, pp.</w:t>
      </w:r>
      <w:r w:rsidRPr="008318E1">
        <w:rPr>
          <w:rFonts w:cstheme="minorHAnsi"/>
          <w:sz w:val="20"/>
          <w:szCs w:val="20"/>
        </w:rPr>
        <w:t xml:space="preserve"> 57-66.</w:t>
      </w:r>
    </w:p>
  </w:endnote>
  <w:endnote w:id="71">
    <w:p w14:paraId="01A4BFF4" w14:textId="77777777" w:rsidR="00C53CA3" w:rsidRPr="008318E1" w:rsidRDefault="00C53CA3" w:rsidP="00FE6B14">
      <w:pPr>
        <w:autoSpaceDE w:val="0"/>
        <w:autoSpaceDN w:val="0"/>
        <w:adjustRightInd w:val="0"/>
        <w:spacing w:after="0" w:line="240" w:lineRule="auto"/>
        <w:rPr>
          <w:rFonts w:cstheme="minorHAnsi"/>
          <w:sz w:val="20"/>
          <w:szCs w:val="20"/>
        </w:rPr>
      </w:pPr>
      <w:r w:rsidRPr="008318E1">
        <w:rPr>
          <w:rStyle w:val="EndnoteReference"/>
          <w:rFonts w:cstheme="minorHAnsi"/>
        </w:rPr>
        <w:endnoteRef/>
      </w:r>
      <w:r>
        <w:rPr>
          <w:rFonts w:cstheme="minorHAnsi"/>
          <w:sz w:val="20"/>
          <w:szCs w:val="20"/>
        </w:rPr>
        <w:t xml:space="preserve"> </w:t>
      </w:r>
      <w:r w:rsidRPr="008318E1">
        <w:rPr>
          <w:rFonts w:cstheme="minorHAnsi"/>
          <w:sz w:val="20"/>
          <w:szCs w:val="20"/>
        </w:rPr>
        <w:t>Brunoni, J. D., T. &amp; Walker, I. &amp; Wood, D. &amp; Coustasse, Alberto</w:t>
      </w:r>
      <w:r>
        <w:rPr>
          <w:rFonts w:cstheme="minorHAnsi"/>
          <w:sz w:val="20"/>
          <w:szCs w:val="20"/>
        </w:rPr>
        <w:t>,</w:t>
      </w:r>
      <w:r w:rsidRPr="008318E1">
        <w:rPr>
          <w:rFonts w:cstheme="minorHAnsi"/>
          <w:sz w:val="20"/>
          <w:szCs w:val="20"/>
        </w:rPr>
        <w:t xml:space="preserve"> </w:t>
      </w:r>
      <w:r w:rsidRPr="00BF5493">
        <w:rPr>
          <w:rFonts w:cstheme="minorHAnsi"/>
          <w:i/>
          <w:sz w:val="20"/>
          <w:szCs w:val="20"/>
        </w:rPr>
        <w:t>Is Capitation an Effective Tool for Reducing Health Care Costs?</w:t>
      </w:r>
      <w:r>
        <w:rPr>
          <w:rFonts w:cstheme="minorHAnsi"/>
          <w:sz w:val="20"/>
          <w:szCs w:val="20"/>
        </w:rPr>
        <w:t>,</w:t>
      </w:r>
      <w:r w:rsidRPr="008318E1">
        <w:rPr>
          <w:rFonts w:cstheme="minorHAnsi"/>
          <w:sz w:val="20"/>
          <w:szCs w:val="20"/>
        </w:rPr>
        <w:t xml:space="preserve"> 2015</w:t>
      </w:r>
      <w:r>
        <w:rPr>
          <w:rFonts w:cstheme="minorHAnsi"/>
          <w:sz w:val="20"/>
          <w:szCs w:val="20"/>
        </w:rPr>
        <w:t xml:space="preserve">, </w:t>
      </w:r>
      <w:r w:rsidRPr="00BF5493">
        <w:rPr>
          <w:rFonts w:cstheme="minorHAnsi"/>
          <w:sz w:val="20"/>
          <w:szCs w:val="20"/>
        </w:rPr>
        <w:t>Insights to a Changing World</w:t>
      </w:r>
      <w:r>
        <w:rPr>
          <w:rFonts w:cstheme="minorHAnsi"/>
          <w:sz w:val="20"/>
          <w:szCs w:val="20"/>
        </w:rPr>
        <w:t>,</w:t>
      </w:r>
      <w:r w:rsidRPr="008318E1">
        <w:rPr>
          <w:rFonts w:cstheme="minorHAnsi"/>
          <w:sz w:val="20"/>
          <w:szCs w:val="20"/>
        </w:rPr>
        <w:t xml:space="preserve"> </w:t>
      </w:r>
      <w:r>
        <w:rPr>
          <w:rFonts w:cstheme="minorHAnsi"/>
          <w:sz w:val="20"/>
          <w:szCs w:val="20"/>
        </w:rPr>
        <w:t>pp.</w:t>
      </w:r>
      <w:r w:rsidRPr="008318E1">
        <w:rPr>
          <w:rFonts w:cstheme="minorHAnsi"/>
          <w:sz w:val="20"/>
          <w:szCs w:val="20"/>
        </w:rPr>
        <w:t xml:space="preserve"> 85-106.</w:t>
      </w:r>
    </w:p>
  </w:endnote>
  <w:endnote w:id="72">
    <w:p w14:paraId="28649656" w14:textId="77777777" w:rsidR="00C53CA3" w:rsidRPr="008318E1" w:rsidRDefault="00C53CA3" w:rsidP="00FE6B14">
      <w:pPr>
        <w:autoSpaceDE w:val="0"/>
        <w:autoSpaceDN w:val="0"/>
        <w:adjustRightInd w:val="0"/>
        <w:spacing w:after="0" w:line="240" w:lineRule="auto"/>
        <w:rPr>
          <w:rFonts w:cstheme="minorHAnsi"/>
          <w:sz w:val="20"/>
          <w:szCs w:val="20"/>
        </w:rPr>
      </w:pPr>
      <w:r w:rsidRPr="008318E1">
        <w:rPr>
          <w:rStyle w:val="EndnoteReference"/>
          <w:rFonts w:cstheme="minorHAnsi"/>
        </w:rPr>
        <w:endnoteRef/>
      </w:r>
      <w:r w:rsidRPr="008318E1">
        <w:rPr>
          <w:rFonts w:cstheme="minorHAnsi"/>
          <w:sz w:val="20"/>
          <w:szCs w:val="20"/>
        </w:rPr>
        <w:t xml:space="preserve"> Richard Grieve, J. S. S., Teh-wei Hu, Joan R. Bloom</w:t>
      </w:r>
      <w:r>
        <w:rPr>
          <w:rFonts w:cstheme="minorHAnsi"/>
          <w:sz w:val="20"/>
          <w:szCs w:val="20"/>
        </w:rPr>
        <w:t>,</w:t>
      </w:r>
      <w:r w:rsidRPr="008318E1">
        <w:rPr>
          <w:rFonts w:cstheme="minorHAnsi"/>
          <w:sz w:val="20"/>
          <w:szCs w:val="20"/>
        </w:rPr>
        <w:t xml:space="preserve"> </w:t>
      </w:r>
      <w:r w:rsidRPr="00BF5493">
        <w:rPr>
          <w:rFonts w:cstheme="minorHAnsi"/>
          <w:i/>
          <w:sz w:val="20"/>
          <w:szCs w:val="20"/>
        </w:rPr>
        <w:t>Evaluating Health Care Programs by Combining Cost with Quality of Life Measures: A Case Study Comparing Capitation and Fee for Service</w:t>
      </w:r>
      <w:r>
        <w:rPr>
          <w:rFonts w:cstheme="minorHAnsi"/>
          <w:sz w:val="20"/>
          <w:szCs w:val="20"/>
        </w:rPr>
        <w:t>,</w:t>
      </w:r>
      <w:r w:rsidRPr="008318E1">
        <w:rPr>
          <w:rFonts w:cstheme="minorHAnsi"/>
          <w:sz w:val="20"/>
          <w:szCs w:val="20"/>
        </w:rPr>
        <w:t xml:space="preserve"> 2008</w:t>
      </w:r>
      <w:r>
        <w:rPr>
          <w:rFonts w:cstheme="minorHAnsi"/>
          <w:sz w:val="20"/>
          <w:szCs w:val="20"/>
        </w:rPr>
        <w:t>,</w:t>
      </w:r>
      <w:r w:rsidRPr="008318E1">
        <w:rPr>
          <w:rFonts w:cstheme="minorHAnsi"/>
          <w:sz w:val="20"/>
          <w:szCs w:val="20"/>
        </w:rPr>
        <w:t xml:space="preserve"> </w:t>
      </w:r>
      <w:r w:rsidRPr="00BF5493">
        <w:rPr>
          <w:rFonts w:cstheme="minorHAnsi"/>
          <w:sz w:val="20"/>
          <w:szCs w:val="20"/>
        </w:rPr>
        <w:t>Health Services Research</w:t>
      </w:r>
      <w:r w:rsidRPr="008318E1">
        <w:rPr>
          <w:rFonts w:cstheme="minorHAnsi"/>
          <w:sz w:val="20"/>
          <w:szCs w:val="20"/>
        </w:rPr>
        <w:t xml:space="preserve"> </w:t>
      </w:r>
      <w:r w:rsidRPr="008318E1">
        <w:rPr>
          <w:rFonts w:cstheme="minorHAnsi"/>
          <w:bCs/>
          <w:sz w:val="20"/>
          <w:szCs w:val="20"/>
        </w:rPr>
        <w:t>43</w:t>
      </w:r>
      <w:r w:rsidRPr="008318E1">
        <w:rPr>
          <w:rFonts w:cstheme="minorHAnsi"/>
          <w:sz w:val="20"/>
          <w:szCs w:val="20"/>
        </w:rPr>
        <w:t>(4)</w:t>
      </w:r>
      <w:r>
        <w:rPr>
          <w:rFonts w:cstheme="minorHAnsi"/>
          <w:sz w:val="20"/>
          <w:szCs w:val="20"/>
        </w:rPr>
        <w:t>, pp.</w:t>
      </w:r>
      <w:r w:rsidRPr="008318E1">
        <w:rPr>
          <w:rFonts w:cstheme="minorHAnsi"/>
          <w:sz w:val="20"/>
          <w:szCs w:val="20"/>
        </w:rPr>
        <w:t xml:space="preserve"> 1204-1222.</w:t>
      </w:r>
    </w:p>
  </w:endnote>
  <w:endnote w:id="73">
    <w:p w14:paraId="35E8188B" w14:textId="77777777" w:rsidR="00C53CA3" w:rsidRPr="008318E1" w:rsidRDefault="00C53CA3" w:rsidP="00F61E68">
      <w:pPr>
        <w:pStyle w:val="EndnoteText"/>
        <w:rPr>
          <w:rFonts w:cstheme="minorHAnsi"/>
        </w:rPr>
      </w:pPr>
      <w:r w:rsidRPr="008318E1">
        <w:rPr>
          <w:rStyle w:val="EndnoteReference"/>
          <w:rFonts w:cstheme="minorHAnsi"/>
        </w:rPr>
        <w:endnoteRef/>
      </w:r>
      <w:r w:rsidRPr="008318E1">
        <w:rPr>
          <w:rFonts w:cstheme="minorHAnsi"/>
        </w:rPr>
        <w:t xml:space="preserve"> Productivity Commission, </w:t>
      </w:r>
      <w:r w:rsidRPr="008318E1">
        <w:rPr>
          <w:rFonts w:cstheme="minorHAnsi"/>
          <w:i/>
        </w:rPr>
        <w:t>NDIS Costs</w:t>
      </w:r>
      <w:r>
        <w:rPr>
          <w:rFonts w:cstheme="minorHAnsi"/>
          <w:i/>
        </w:rPr>
        <w:t xml:space="preserve"> -</w:t>
      </w:r>
      <w:r w:rsidRPr="00BF5493">
        <w:rPr>
          <w:rFonts w:cstheme="minorHAnsi"/>
          <w:i/>
        </w:rPr>
        <w:t xml:space="preserve"> Study report overview</w:t>
      </w:r>
      <w:r w:rsidRPr="00F27062">
        <w:rPr>
          <w:rFonts w:cstheme="minorHAnsi"/>
        </w:rPr>
        <w:t>,</w:t>
      </w:r>
      <w:r w:rsidRPr="008318E1">
        <w:rPr>
          <w:rFonts w:cstheme="minorHAnsi"/>
        </w:rPr>
        <w:t xml:space="preserve"> 2017</w:t>
      </w:r>
      <w:r>
        <w:rPr>
          <w:rFonts w:cstheme="minorHAnsi"/>
        </w:rPr>
        <w:t xml:space="preserve">, </w:t>
      </w:r>
      <w:r w:rsidRPr="008318E1">
        <w:rPr>
          <w:rFonts w:cstheme="minorHAnsi"/>
        </w:rPr>
        <w:t>pp. 33</w:t>
      </w:r>
      <w:r>
        <w:rPr>
          <w:rFonts w:cstheme="minorHAnsi"/>
        </w:rPr>
        <w:t>.</w:t>
      </w:r>
    </w:p>
  </w:endnote>
  <w:endnote w:id="74">
    <w:p w14:paraId="24024D6C" w14:textId="77777777" w:rsidR="00C53CA3" w:rsidRDefault="00C53CA3" w:rsidP="00F61E68">
      <w:pPr>
        <w:pStyle w:val="EndnoteText"/>
      </w:pPr>
      <w:r>
        <w:rPr>
          <w:rStyle w:val="EndnoteReference"/>
        </w:rPr>
        <w:endnoteRef/>
      </w:r>
      <w:r>
        <w:t xml:space="preserve"> </w:t>
      </w:r>
      <w:r w:rsidRPr="003E2527">
        <w:t xml:space="preserve">National Disability Insurance Agency </w:t>
      </w:r>
      <w:r>
        <w:t>(</w:t>
      </w:r>
      <w:r w:rsidRPr="003E2527">
        <w:t>NDIA</w:t>
      </w:r>
      <w:r>
        <w:t>)</w:t>
      </w:r>
      <w:r w:rsidRPr="008318E1">
        <w:rPr>
          <w:rFonts w:cstheme="minorHAnsi"/>
          <w:lang w:val="en-US"/>
        </w:rPr>
        <w:t>, NDIS Pricing Strategy, 2019</w:t>
      </w:r>
      <w:r>
        <w:rPr>
          <w:rFonts w:cstheme="minorHAnsi"/>
          <w:lang w:val="en-US"/>
        </w:rPr>
        <w:t xml:space="preserve">, </w:t>
      </w:r>
      <w:r w:rsidRPr="008318E1">
        <w:rPr>
          <w:rFonts w:cstheme="minorHAnsi"/>
          <w:lang w:val="en-US"/>
        </w:rPr>
        <w:t>p</w:t>
      </w:r>
      <w:r>
        <w:rPr>
          <w:rFonts w:cstheme="minorHAnsi"/>
          <w:lang w:val="en-US"/>
        </w:rPr>
        <w:t>p</w:t>
      </w:r>
      <w:r w:rsidRPr="008318E1">
        <w:rPr>
          <w:rFonts w:cstheme="minorHAnsi"/>
          <w:lang w:val="en-US"/>
        </w:rPr>
        <w:t>. 7</w:t>
      </w:r>
      <w:r>
        <w:rPr>
          <w:rFonts w:cstheme="minorHAnsi"/>
          <w:lang w:val="en-US"/>
        </w:rPr>
        <w:t>.</w:t>
      </w:r>
    </w:p>
  </w:endnote>
  <w:endnote w:id="75">
    <w:p w14:paraId="0760FDF5" w14:textId="77777777" w:rsidR="00C53CA3" w:rsidRPr="008318E1" w:rsidRDefault="00C53CA3" w:rsidP="00F61E68">
      <w:pPr>
        <w:pStyle w:val="EndnoteText"/>
        <w:rPr>
          <w:rFonts w:cstheme="minorHAnsi"/>
        </w:rPr>
      </w:pPr>
      <w:r w:rsidRPr="008318E1">
        <w:rPr>
          <w:rStyle w:val="EndnoteReference"/>
          <w:rFonts w:cstheme="minorHAnsi"/>
        </w:rPr>
        <w:endnoteRef/>
      </w:r>
      <w:r w:rsidRPr="008318E1">
        <w:rPr>
          <w:rFonts w:cstheme="minorHAnsi"/>
        </w:rPr>
        <w:t xml:space="preserve"> </w:t>
      </w:r>
      <w:r w:rsidRPr="00F27062">
        <w:rPr>
          <w:rFonts w:cstheme="minorHAnsi"/>
          <w:iCs/>
        </w:rPr>
        <w:t xml:space="preserve">Productivity </w:t>
      </w:r>
      <w:r w:rsidRPr="00D94A03">
        <w:rPr>
          <w:rFonts w:cstheme="minorHAnsi"/>
          <w:iCs/>
        </w:rPr>
        <w:t>Commission,</w:t>
      </w:r>
      <w:r w:rsidRPr="008318E1">
        <w:rPr>
          <w:rFonts w:cstheme="minorHAnsi"/>
          <w:i/>
          <w:iCs/>
        </w:rPr>
        <w:t xml:space="preserve"> Aged Care Employment</w:t>
      </w:r>
      <w:r>
        <w:rPr>
          <w:rFonts w:cstheme="minorHAnsi"/>
          <w:i/>
          <w:iCs/>
        </w:rPr>
        <w:t xml:space="preserve"> </w:t>
      </w:r>
      <w:r w:rsidRPr="006978B5">
        <w:rPr>
          <w:rFonts w:cstheme="minorHAnsi"/>
          <w:i/>
          <w:iCs/>
        </w:rPr>
        <w:t xml:space="preserve">- </w:t>
      </w:r>
      <w:r w:rsidRPr="00BF5493">
        <w:rPr>
          <w:rFonts w:cstheme="minorHAnsi"/>
          <w:i/>
        </w:rPr>
        <w:t>Study Report</w:t>
      </w:r>
      <w:r>
        <w:rPr>
          <w:rFonts w:cstheme="minorHAnsi"/>
        </w:rPr>
        <w:t xml:space="preserve">, </w:t>
      </w:r>
      <w:r>
        <w:rPr>
          <w:rFonts w:cstheme="minorHAnsi"/>
          <w:iCs/>
        </w:rPr>
        <w:t xml:space="preserve">2022, </w:t>
      </w:r>
      <w:r>
        <w:rPr>
          <w:rFonts w:cstheme="minorHAnsi"/>
        </w:rPr>
        <w:t>pp. 90</w:t>
      </w:r>
      <w:r>
        <w:rPr>
          <w:rFonts w:cstheme="minorHAnsi"/>
          <w:iCs/>
        </w:rPr>
        <w:t>.</w:t>
      </w:r>
      <w:r w:rsidRPr="00D94A03">
        <w:rPr>
          <w:rFonts w:cstheme="minorHAnsi"/>
          <w:iCs/>
        </w:rPr>
        <w:t xml:space="preserve"> </w:t>
      </w:r>
    </w:p>
  </w:endnote>
  <w:endnote w:id="76">
    <w:p w14:paraId="2EFB4BB0" w14:textId="77777777" w:rsidR="00C53CA3" w:rsidRPr="008318E1" w:rsidRDefault="00C53CA3" w:rsidP="00F61E68">
      <w:pPr>
        <w:pStyle w:val="EndnoteText"/>
        <w:rPr>
          <w:rFonts w:cstheme="minorHAnsi"/>
        </w:rPr>
      </w:pPr>
      <w:r w:rsidRPr="008318E1">
        <w:rPr>
          <w:rStyle w:val="EndnoteReference"/>
          <w:rFonts w:cstheme="minorHAnsi"/>
        </w:rPr>
        <w:endnoteRef/>
      </w:r>
      <w:r w:rsidRPr="008318E1">
        <w:rPr>
          <w:rFonts w:cstheme="minorHAnsi"/>
        </w:rPr>
        <w:t xml:space="preserve"> Productivity Commission, </w:t>
      </w:r>
      <w:r w:rsidRPr="008318E1">
        <w:rPr>
          <w:rFonts w:cstheme="minorHAnsi"/>
          <w:i/>
        </w:rPr>
        <w:t>Efficiency in Health</w:t>
      </w:r>
      <w:r>
        <w:rPr>
          <w:rFonts w:cstheme="minorHAnsi"/>
        </w:rPr>
        <w:t xml:space="preserve"> - </w:t>
      </w:r>
      <w:r w:rsidRPr="00BF5493">
        <w:rPr>
          <w:rFonts w:cstheme="minorHAnsi"/>
          <w:i/>
        </w:rPr>
        <w:t>Commission Research Paper</w:t>
      </w:r>
      <w:r>
        <w:rPr>
          <w:rFonts w:cstheme="minorHAnsi"/>
          <w:i/>
        </w:rPr>
        <w:t>,</w:t>
      </w:r>
      <w:r>
        <w:rPr>
          <w:rFonts w:cstheme="minorHAnsi"/>
        </w:rPr>
        <w:t xml:space="preserve"> </w:t>
      </w:r>
      <w:r w:rsidRPr="008318E1">
        <w:rPr>
          <w:rFonts w:cstheme="minorHAnsi"/>
        </w:rPr>
        <w:t>2015</w:t>
      </w:r>
      <w:r>
        <w:rPr>
          <w:rFonts w:cstheme="minorHAnsi"/>
        </w:rPr>
        <w:t>, pp. 59.</w:t>
      </w:r>
    </w:p>
  </w:endnote>
  <w:endnote w:id="77">
    <w:p w14:paraId="799374CD" w14:textId="77777777" w:rsidR="00C53CA3" w:rsidRDefault="00C53CA3" w:rsidP="00F61E68">
      <w:pPr>
        <w:pStyle w:val="EndnoteText"/>
      </w:pPr>
      <w:r>
        <w:rPr>
          <w:rStyle w:val="EndnoteReference"/>
        </w:rPr>
        <w:endnoteRef/>
      </w:r>
      <w:r>
        <w:t xml:space="preserve"> </w:t>
      </w:r>
      <w:r w:rsidRPr="008318E1">
        <w:rPr>
          <w:rFonts w:cstheme="minorHAnsi"/>
        </w:rPr>
        <w:t xml:space="preserve">Queensland Productivity Commission, </w:t>
      </w:r>
      <w:r w:rsidRPr="008318E1">
        <w:rPr>
          <w:rFonts w:cstheme="minorHAnsi"/>
          <w:i/>
        </w:rPr>
        <w:t>The NDIS Market in Queensland</w:t>
      </w:r>
      <w:r>
        <w:rPr>
          <w:rFonts w:cstheme="minorHAnsi"/>
        </w:rPr>
        <w:t xml:space="preserve"> -</w:t>
      </w:r>
      <w:r w:rsidRPr="00BF5493">
        <w:rPr>
          <w:rFonts w:cstheme="minorHAnsi"/>
          <w:i/>
        </w:rPr>
        <w:t xml:space="preserve"> Final Report</w:t>
      </w:r>
      <w:r>
        <w:rPr>
          <w:rFonts w:cstheme="minorHAnsi"/>
          <w:i/>
        </w:rPr>
        <w:t>,</w:t>
      </w:r>
      <w:r>
        <w:rPr>
          <w:rFonts w:cstheme="minorHAnsi"/>
        </w:rPr>
        <w:t xml:space="preserve"> </w:t>
      </w:r>
      <w:r w:rsidRPr="008318E1">
        <w:rPr>
          <w:rFonts w:cstheme="minorHAnsi"/>
        </w:rPr>
        <w:t>2021</w:t>
      </w:r>
      <w:r>
        <w:rPr>
          <w:rFonts w:cstheme="minorHAnsi"/>
        </w:rPr>
        <w:t>, pp. xix.</w:t>
      </w:r>
    </w:p>
  </w:endnote>
  <w:endnote w:id="78">
    <w:p w14:paraId="28F4E2D2" w14:textId="77777777" w:rsidR="00C53CA3" w:rsidRPr="008318E1" w:rsidRDefault="00C53CA3" w:rsidP="00DC6D97">
      <w:pPr>
        <w:pStyle w:val="EndnoteText"/>
        <w:rPr>
          <w:rFonts w:cstheme="minorHAnsi"/>
        </w:rPr>
      </w:pPr>
      <w:r w:rsidRPr="008318E1">
        <w:rPr>
          <w:rStyle w:val="EndnoteReference"/>
          <w:rFonts w:cstheme="minorHAnsi"/>
        </w:rPr>
        <w:endnoteRef/>
      </w:r>
      <w:r w:rsidRPr="008318E1">
        <w:rPr>
          <w:rFonts w:cstheme="minorHAnsi"/>
        </w:rPr>
        <w:t xml:space="preserve"> Submission 365 to the </w:t>
      </w:r>
      <w:r w:rsidRPr="008318E1">
        <w:rPr>
          <w:rStyle w:val="ui-provider"/>
          <w:rFonts w:cstheme="minorHAnsi"/>
        </w:rPr>
        <w:t xml:space="preserve">NDIS Review’s </w:t>
      </w:r>
      <w:r w:rsidRPr="008318E1">
        <w:rPr>
          <w:rStyle w:val="ui-provider"/>
          <w:rFonts w:cstheme="minorHAnsi"/>
          <w:i/>
          <w:iCs/>
        </w:rPr>
        <w:t>Have your Say</w:t>
      </w:r>
      <w:r w:rsidRPr="008318E1">
        <w:rPr>
          <w:rStyle w:val="ui-provider"/>
          <w:rFonts w:cstheme="minorHAnsi"/>
        </w:rPr>
        <w:t xml:space="preserve"> survey</w:t>
      </w:r>
      <w:r>
        <w:rPr>
          <w:rStyle w:val="ui-provider"/>
          <w:rFonts w:cstheme="minorHAnsi"/>
        </w:rPr>
        <w:t>.</w:t>
      </w:r>
    </w:p>
  </w:endnote>
  <w:endnote w:id="79">
    <w:p w14:paraId="55AE5FFD" w14:textId="77777777" w:rsidR="00C53CA3" w:rsidRDefault="00C53CA3" w:rsidP="00196773">
      <w:pPr>
        <w:pStyle w:val="EndnoteText"/>
      </w:pPr>
      <w:r>
        <w:rPr>
          <w:rStyle w:val="EndnoteReference"/>
        </w:rPr>
        <w:endnoteRef/>
      </w:r>
      <w:r>
        <w:t xml:space="preserve"> Adapted from </w:t>
      </w:r>
      <w:r w:rsidRPr="008318E1">
        <w:rPr>
          <w:rFonts w:cstheme="minorHAnsi"/>
        </w:rPr>
        <w:t xml:space="preserve">Queensland Productivity Commission, </w:t>
      </w:r>
      <w:r w:rsidRPr="008318E1">
        <w:rPr>
          <w:rFonts w:cstheme="minorHAnsi"/>
          <w:i/>
        </w:rPr>
        <w:t>The NDIS Market in Queensland</w:t>
      </w:r>
      <w:r w:rsidRPr="00BF5493">
        <w:rPr>
          <w:rFonts w:cstheme="minorHAnsi"/>
          <w:i/>
        </w:rPr>
        <w:t xml:space="preserve"> - Final Report</w:t>
      </w:r>
      <w:r>
        <w:rPr>
          <w:rFonts w:cstheme="minorHAnsi"/>
          <w:i/>
        </w:rPr>
        <w:t>,</w:t>
      </w:r>
      <w:r>
        <w:rPr>
          <w:rFonts w:cstheme="minorHAnsi"/>
        </w:rPr>
        <w:t xml:space="preserve"> </w:t>
      </w:r>
      <w:r w:rsidRPr="008318E1">
        <w:rPr>
          <w:rFonts w:cstheme="minorHAnsi"/>
        </w:rPr>
        <w:t>2021</w:t>
      </w:r>
      <w:r>
        <w:rPr>
          <w:rFonts w:cstheme="minorHAnsi"/>
        </w:rPr>
        <w:t>, pp. 216-218.</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Segoe UI Semilight">
    <w:panose1 w:val="020B0402040204020203"/>
    <w:charset w:val="00"/>
    <w:family w:val="swiss"/>
    <w:pitch w:val="variable"/>
    <w:sig w:usb0="E4002EFF" w:usb1="C000E47F" w:usb2="00000009" w:usb3="00000000" w:csb0="000001FF" w:csb1="00000000"/>
  </w:font>
  <w:font w:name="Cardo">
    <w:altName w:val="Times New Roman"/>
    <w:charset w:val="00"/>
    <w:family w:val="roman"/>
    <w:pitch w:val="variable"/>
    <w:sig w:usb0="E40008FF" w:usb1="5201E0FB" w:usb2="04608000" w:usb3="00000000" w:csb0="000000BB"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55797B" w14:textId="39C31045" w:rsidR="00C53CA3" w:rsidRPr="00BB1526" w:rsidRDefault="00C53CA3" w:rsidP="00D001E2">
    <w:pPr>
      <w:pStyle w:val="Header"/>
      <w:rPr>
        <w:rFonts w:ascii="Segoe UI" w:hAnsi="Segoe UI" w:cs="Segoe UI"/>
        <w:color w:val="6E6E6E"/>
        <w:sz w:val="18"/>
      </w:rPr>
    </w:pPr>
    <w:r>
      <w:rPr>
        <w:color w:val="6E6E6E"/>
        <w:sz w:val="18"/>
        <w:szCs w:val="18"/>
      </w:rPr>
      <w:t>NDIS Review</w:t>
    </w:r>
    <w:r w:rsidRPr="00852F35">
      <w:rPr>
        <w:color w:val="6E6E6E"/>
        <w:sz w:val="18"/>
        <w:szCs w:val="18"/>
      </w:rPr>
      <w:t xml:space="preserve"> | </w:t>
    </w:r>
    <w:r>
      <w:rPr>
        <w:color w:val="6E6E6E"/>
        <w:sz w:val="18"/>
        <w:szCs w:val="18"/>
      </w:rPr>
      <w:t>The role of pricing and payment approaches</w:t>
    </w:r>
    <w:r w:rsidRPr="00852F35">
      <w:rPr>
        <w:color w:val="6E6E6E"/>
      </w:rPr>
      <w:t xml:space="preserve"> </w:t>
    </w:r>
    <w:r w:rsidRPr="00852F35">
      <w:rPr>
        <w:color w:val="6E6E6E"/>
      </w:rPr>
      <w:ptab w:relativeTo="margin" w:alignment="right" w:leader="none"/>
    </w:r>
    <w:r w:rsidRPr="00852F35">
      <w:rPr>
        <w:rFonts w:ascii="Segoe UI" w:hAnsi="Segoe UI" w:cs="Segoe UI"/>
        <w:color w:val="6E6E6E"/>
        <w:sz w:val="18"/>
      </w:rPr>
      <w:fldChar w:fldCharType="begin"/>
    </w:r>
    <w:r w:rsidRPr="00852F35">
      <w:rPr>
        <w:rFonts w:ascii="Segoe UI" w:hAnsi="Segoe UI" w:cs="Segoe UI"/>
        <w:color w:val="6E6E6E"/>
        <w:sz w:val="18"/>
      </w:rPr>
      <w:instrText xml:space="preserve"> PAGE   \* MERGEFORMAT </w:instrText>
    </w:r>
    <w:r w:rsidRPr="00852F35">
      <w:rPr>
        <w:rFonts w:ascii="Segoe UI" w:hAnsi="Segoe UI" w:cs="Segoe UI"/>
        <w:color w:val="6E6E6E"/>
        <w:sz w:val="18"/>
      </w:rPr>
      <w:fldChar w:fldCharType="separate"/>
    </w:r>
    <w:r w:rsidR="00B67CD4">
      <w:rPr>
        <w:rFonts w:ascii="Segoe UI" w:hAnsi="Segoe UI" w:cs="Segoe UI"/>
        <w:noProof/>
        <w:color w:val="6E6E6E"/>
        <w:sz w:val="18"/>
      </w:rPr>
      <w:t>20</w:t>
    </w:r>
    <w:r w:rsidRPr="00852F35">
      <w:rPr>
        <w:rFonts w:ascii="Segoe UI" w:hAnsi="Segoe UI" w:cs="Segoe UI"/>
        <w:noProof/>
        <w:color w:val="6E6E6E"/>
        <w:sz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C0980C" w14:textId="6AE54093" w:rsidR="00C53CA3" w:rsidRPr="00BF7FD4" w:rsidRDefault="00C53CA3" w:rsidP="00BF7FD4">
    <w:pPr>
      <w:pStyle w:val="Header"/>
      <w:rPr>
        <w:color w:val="6E6E6E"/>
        <w:sz w:val="18"/>
        <w:szCs w:val="18"/>
      </w:rPr>
    </w:pPr>
    <w:r>
      <w:rPr>
        <w:color w:val="6E6E6E"/>
        <w:sz w:val="18"/>
        <w:szCs w:val="18"/>
      </w:rPr>
      <w:t>NDIS Review</w:t>
    </w:r>
    <w:r w:rsidRPr="00852F35">
      <w:rPr>
        <w:color w:val="6E6E6E"/>
        <w:sz w:val="18"/>
        <w:szCs w:val="18"/>
      </w:rPr>
      <w:t xml:space="preserve"> | </w:t>
    </w:r>
    <w:r>
      <w:rPr>
        <w:color w:val="6E6E6E"/>
        <w:sz w:val="18"/>
        <w:szCs w:val="18"/>
      </w:rPr>
      <w:t>The role of pricing and payment approaches</w:t>
    </w:r>
    <w:r w:rsidRPr="00852F35">
      <w:rPr>
        <w:color w:val="6E6E6E"/>
      </w:rPr>
      <w:ptab w:relativeTo="margin" w:alignment="right" w:leader="none"/>
    </w:r>
    <w:r w:rsidRPr="00852F35">
      <w:rPr>
        <w:rFonts w:ascii="Segoe UI" w:hAnsi="Segoe UI" w:cs="Segoe UI"/>
        <w:color w:val="6E6E6E"/>
        <w:sz w:val="18"/>
      </w:rPr>
      <w:fldChar w:fldCharType="begin"/>
    </w:r>
    <w:r w:rsidRPr="00852F35">
      <w:rPr>
        <w:rFonts w:ascii="Segoe UI" w:hAnsi="Segoe UI" w:cs="Segoe UI"/>
        <w:color w:val="6E6E6E"/>
        <w:sz w:val="18"/>
      </w:rPr>
      <w:instrText xml:space="preserve"> PAGE   \* MERGEFORMAT </w:instrText>
    </w:r>
    <w:r w:rsidRPr="00852F35">
      <w:rPr>
        <w:rFonts w:ascii="Segoe UI" w:hAnsi="Segoe UI" w:cs="Segoe UI"/>
        <w:color w:val="6E6E6E"/>
        <w:sz w:val="18"/>
      </w:rPr>
      <w:fldChar w:fldCharType="separate"/>
    </w:r>
    <w:r w:rsidR="00B67CD4">
      <w:rPr>
        <w:rFonts w:ascii="Segoe UI" w:hAnsi="Segoe UI" w:cs="Segoe UI"/>
        <w:noProof/>
        <w:color w:val="6E6E6E"/>
        <w:sz w:val="18"/>
      </w:rPr>
      <w:t>i</w:t>
    </w:r>
    <w:r w:rsidRPr="00852F35">
      <w:rPr>
        <w:rFonts w:ascii="Segoe UI" w:hAnsi="Segoe UI" w:cs="Segoe UI"/>
        <w:noProof/>
        <w:color w:val="6E6E6E"/>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AF62BE0" w14:textId="77777777" w:rsidR="009F258D" w:rsidRDefault="009F258D" w:rsidP="00F957C6">
      <w:pPr>
        <w:spacing w:after="0" w:line="240" w:lineRule="auto"/>
      </w:pPr>
      <w:r>
        <w:separator/>
      </w:r>
    </w:p>
  </w:footnote>
  <w:footnote w:type="continuationSeparator" w:id="0">
    <w:p w14:paraId="0DD3566E" w14:textId="77777777" w:rsidR="009F258D" w:rsidRDefault="009F258D" w:rsidP="00F957C6">
      <w:pPr>
        <w:spacing w:after="0" w:line="240" w:lineRule="auto"/>
      </w:pPr>
      <w:r>
        <w:continuationSeparator/>
      </w:r>
    </w:p>
  </w:footnote>
  <w:footnote w:type="continuationNotice" w:id="1">
    <w:p w14:paraId="58994B44" w14:textId="77777777" w:rsidR="009F258D" w:rsidRDefault="009F258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E717A1" w14:textId="77777777" w:rsidR="00C53CA3" w:rsidRDefault="00C53CA3" w:rsidP="00496735">
    <w:pPr>
      <w:pStyle w:val="Header"/>
      <w:tabs>
        <w:tab w:val="clear" w:pos="4513"/>
        <w:tab w:val="clear" w:pos="9026"/>
      </w:tabs>
      <w:ind w:left="-284"/>
    </w:pPr>
    <w:r>
      <w:rPr>
        <w:noProof/>
        <w:lang w:eastAsia="en-AU"/>
      </w:rPr>
      <w:drawing>
        <wp:anchor distT="0" distB="0" distL="114300" distR="114300" simplePos="0" relativeHeight="251658240" behindDoc="1" locked="1" layoutInCell="1" allowOverlap="1" wp14:anchorId="56B8F6F3" wp14:editId="10E6B3E1">
          <wp:simplePos x="0" y="0"/>
          <wp:positionH relativeFrom="margin">
            <wp:posOffset>-180975</wp:posOffset>
          </wp:positionH>
          <wp:positionV relativeFrom="page">
            <wp:align>center</wp:align>
          </wp:positionV>
          <wp:extent cx="6482080" cy="9719945"/>
          <wp:effectExtent l="0" t="0" r="0" b="0"/>
          <wp:wrapNone/>
          <wp:docPr id="4" name="Picture 4" descr="backgroun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attern-word-bg.jpg"/>
                  <pic:cNvPicPr/>
                </pic:nvPicPr>
                <pic:blipFill>
                  <a:blip r:embed="rId1">
                    <a:extLst>
                      <a:ext uri="{28A0092B-C50C-407E-A947-70E740481C1C}">
                        <a14:useLocalDpi xmlns:a14="http://schemas.microsoft.com/office/drawing/2010/main" val="0"/>
                      </a:ext>
                    </a:extLst>
                  </a:blip>
                  <a:stretch>
                    <a:fillRect/>
                  </a:stretch>
                </pic:blipFill>
                <pic:spPr>
                  <a:xfrm>
                    <a:off x="0" y="0"/>
                    <a:ext cx="6482080" cy="9719945"/>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47123E" w14:textId="77777777" w:rsidR="00C53CA3" w:rsidRDefault="00C53CA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D6180F" w14:textId="77777777" w:rsidR="00C53CA3" w:rsidRDefault="00C53CA3" w:rsidP="008E39BB">
    <w:pPr>
      <w:pStyle w:val="Header"/>
      <w:rPr>
        <w:rStyle w:val="CLASSIFICATIONChar"/>
      </w:rPr>
    </w:pPr>
  </w:p>
  <w:p w14:paraId="1165E66C" w14:textId="77777777" w:rsidR="00C53CA3" w:rsidRDefault="00C53CA3" w:rsidP="00303C55">
    <w:pPr>
      <w:pStyle w:val="Header"/>
      <w:jc w:val="center"/>
      <w:rPr>
        <w:rStyle w:val="CLASSIFICATIONChar"/>
      </w:rPr>
    </w:pPr>
  </w:p>
  <w:p w14:paraId="0D457117" w14:textId="77777777" w:rsidR="00C53CA3" w:rsidRDefault="00C53CA3" w:rsidP="00303C55">
    <w:pPr>
      <w:pStyle w:val="Header"/>
      <w:jc w:val="center"/>
      <w:rPr>
        <w:rStyle w:val="CLASSIFICATIONChar"/>
      </w:rPr>
    </w:pPr>
  </w:p>
  <w:p w14:paraId="3C102725" w14:textId="77777777" w:rsidR="00C53CA3" w:rsidRDefault="00C53CA3" w:rsidP="00303C55">
    <w:pPr>
      <w:pStyle w:val="Header"/>
      <w:jc w:val="center"/>
      <w:rPr>
        <w:rStyle w:val="CLASSIFICATIONChar"/>
      </w:rPr>
    </w:pPr>
  </w:p>
  <w:p w14:paraId="52BA7B3A" w14:textId="77777777" w:rsidR="00C53CA3" w:rsidRDefault="00B67CD4" w:rsidP="00303C55">
    <w:pPr>
      <w:pStyle w:val="Header"/>
      <w:jc w:val="center"/>
    </w:pPr>
    <w:sdt>
      <w:sdtPr>
        <w:rPr>
          <w:rStyle w:val="CLASSIFICATIONChar"/>
        </w:rPr>
        <w:alias w:val="Classification"/>
        <w:tag w:val="Classification"/>
        <w:id w:val="-1971886583"/>
        <w:placeholder>
          <w:docPart w:val="E5B29DB5BC88418B9E41863B212F3896"/>
        </w:placeholder>
        <w15:color w:val="FF0000"/>
        <w:dropDownList>
          <w:listItem w:displayText="Classification" w:value="1"/>
          <w:listItem w:displayText="Official" w:value="2"/>
          <w:listItem w:displayText="Official: Sensitive" w:value="3"/>
          <w:listItem w:displayText="Protected" w:value="4"/>
          <w:listItem w:displayText="Secret" w:value="5"/>
          <w:listItem w:displayText="Top Secret and Codeword" w:value="6"/>
        </w:dropDownList>
      </w:sdtPr>
      <w:sdtEndPr>
        <w:rPr>
          <w:rStyle w:val="DefaultParagraphFont"/>
          <w:rFonts w:asciiTheme="minorHAnsi" w:hAnsiTheme="minorHAnsi"/>
          <w:caps w:val="0"/>
          <w:color w:val="auto"/>
          <w:sz w:val="24"/>
        </w:rPr>
      </w:sdtEndPr>
      <w:sdtContent>
        <w:r w:rsidR="00C53CA3">
          <w:rPr>
            <w:rStyle w:val="CLASSIFICATIONChar"/>
          </w:rPr>
          <w:t>Classification</w:t>
        </w:r>
      </w:sdtContent>
    </w:sdt>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42C222" w14:textId="77777777" w:rsidR="00C53CA3" w:rsidRDefault="00C53CA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2728EE"/>
    <w:multiLevelType w:val="hybridMultilevel"/>
    <w:tmpl w:val="D6D424B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702784A"/>
    <w:multiLevelType w:val="hybridMultilevel"/>
    <w:tmpl w:val="CBF4D71A"/>
    <w:lvl w:ilvl="0" w:tplc="0C09000F">
      <w:start w:val="1"/>
      <w:numFmt w:val="decimal"/>
      <w:lvlText w:val="%1."/>
      <w:lvlJc w:val="left"/>
      <w:pPr>
        <w:ind w:left="36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A1460FB"/>
    <w:multiLevelType w:val="hybridMultilevel"/>
    <w:tmpl w:val="2D126022"/>
    <w:lvl w:ilvl="0" w:tplc="864C8642">
      <w:start w:val="13"/>
      <w:numFmt w:val="bullet"/>
      <w:lvlText w:val="-"/>
      <w:lvlJc w:val="left"/>
      <w:pPr>
        <w:ind w:left="587" w:hanging="360"/>
      </w:pPr>
      <w:rPr>
        <w:rFonts w:ascii="Segoe UI" w:eastAsiaTheme="minorEastAsia" w:hAnsi="Segoe UI" w:cs="Segoe UI" w:hint="default"/>
      </w:rPr>
    </w:lvl>
    <w:lvl w:ilvl="1" w:tplc="0C090003" w:tentative="1">
      <w:start w:val="1"/>
      <w:numFmt w:val="bullet"/>
      <w:lvlText w:val="o"/>
      <w:lvlJc w:val="left"/>
      <w:pPr>
        <w:ind w:left="1307" w:hanging="360"/>
      </w:pPr>
      <w:rPr>
        <w:rFonts w:ascii="Courier New" w:hAnsi="Courier New" w:cs="Courier New" w:hint="default"/>
      </w:rPr>
    </w:lvl>
    <w:lvl w:ilvl="2" w:tplc="0C090005" w:tentative="1">
      <w:start w:val="1"/>
      <w:numFmt w:val="bullet"/>
      <w:lvlText w:val=""/>
      <w:lvlJc w:val="left"/>
      <w:pPr>
        <w:ind w:left="2027" w:hanging="360"/>
      </w:pPr>
      <w:rPr>
        <w:rFonts w:ascii="Wingdings" w:hAnsi="Wingdings" w:hint="default"/>
      </w:rPr>
    </w:lvl>
    <w:lvl w:ilvl="3" w:tplc="0C090001" w:tentative="1">
      <w:start w:val="1"/>
      <w:numFmt w:val="bullet"/>
      <w:lvlText w:val=""/>
      <w:lvlJc w:val="left"/>
      <w:pPr>
        <w:ind w:left="2747" w:hanging="360"/>
      </w:pPr>
      <w:rPr>
        <w:rFonts w:ascii="Symbol" w:hAnsi="Symbol" w:hint="default"/>
      </w:rPr>
    </w:lvl>
    <w:lvl w:ilvl="4" w:tplc="0C090003" w:tentative="1">
      <w:start w:val="1"/>
      <w:numFmt w:val="bullet"/>
      <w:lvlText w:val="o"/>
      <w:lvlJc w:val="left"/>
      <w:pPr>
        <w:ind w:left="3467" w:hanging="360"/>
      </w:pPr>
      <w:rPr>
        <w:rFonts w:ascii="Courier New" w:hAnsi="Courier New" w:cs="Courier New" w:hint="default"/>
      </w:rPr>
    </w:lvl>
    <w:lvl w:ilvl="5" w:tplc="0C090005" w:tentative="1">
      <w:start w:val="1"/>
      <w:numFmt w:val="bullet"/>
      <w:lvlText w:val=""/>
      <w:lvlJc w:val="left"/>
      <w:pPr>
        <w:ind w:left="4187" w:hanging="360"/>
      </w:pPr>
      <w:rPr>
        <w:rFonts w:ascii="Wingdings" w:hAnsi="Wingdings" w:hint="default"/>
      </w:rPr>
    </w:lvl>
    <w:lvl w:ilvl="6" w:tplc="0C090001" w:tentative="1">
      <w:start w:val="1"/>
      <w:numFmt w:val="bullet"/>
      <w:lvlText w:val=""/>
      <w:lvlJc w:val="left"/>
      <w:pPr>
        <w:ind w:left="4907" w:hanging="360"/>
      </w:pPr>
      <w:rPr>
        <w:rFonts w:ascii="Symbol" w:hAnsi="Symbol" w:hint="default"/>
      </w:rPr>
    </w:lvl>
    <w:lvl w:ilvl="7" w:tplc="0C090003" w:tentative="1">
      <w:start w:val="1"/>
      <w:numFmt w:val="bullet"/>
      <w:lvlText w:val="o"/>
      <w:lvlJc w:val="left"/>
      <w:pPr>
        <w:ind w:left="5627" w:hanging="360"/>
      </w:pPr>
      <w:rPr>
        <w:rFonts w:ascii="Courier New" w:hAnsi="Courier New" w:cs="Courier New" w:hint="default"/>
      </w:rPr>
    </w:lvl>
    <w:lvl w:ilvl="8" w:tplc="0C090005" w:tentative="1">
      <w:start w:val="1"/>
      <w:numFmt w:val="bullet"/>
      <w:lvlText w:val=""/>
      <w:lvlJc w:val="left"/>
      <w:pPr>
        <w:ind w:left="6347" w:hanging="360"/>
      </w:pPr>
      <w:rPr>
        <w:rFonts w:ascii="Wingdings" w:hAnsi="Wingdings" w:hint="default"/>
      </w:rPr>
    </w:lvl>
  </w:abstractNum>
  <w:abstractNum w:abstractNumId="3" w15:restartNumberingAfterBreak="0">
    <w:nsid w:val="0AB75033"/>
    <w:multiLevelType w:val="hybridMultilevel"/>
    <w:tmpl w:val="C6DC8A2C"/>
    <w:lvl w:ilvl="0" w:tplc="458A1C2C">
      <w:start w:val="1"/>
      <w:numFmt w:val="bullet"/>
      <w:pStyle w:val="TBLBulletedLis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B014CCD"/>
    <w:multiLevelType w:val="hybridMultilevel"/>
    <w:tmpl w:val="F2FA0708"/>
    <w:lvl w:ilvl="0" w:tplc="015C7B9C">
      <w:start w:val="1"/>
      <w:numFmt w:val="bullet"/>
      <w:pStyle w:val="B1-Listbullets"/>
      <w:lvlText w:val=""/>
      <w:lvlJc w:val="left"/>
      <w:pPr>
        <w:ind w:left="284" w:hanging="284"/>
      </w:pPr>
      <w:rPr>
        <w:rFonts w:ascii="Symbol" w:hAnsi="Symbol" w:hint="default"/>
      </w:rPr>
    </w:lvl>
    <w:lvl w:ilvl="1" w:tplc="AFD06412">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B351088"/>
    <w:multiLevelType w:val="hybridMultilevel"/>
    <w:tmpl w:val="F60CABEC"/>
    <w:lvl w:ilvl="0" w:tplc="B6661870">
      <w:start w:val="13"/>
      <w:numFmt w:val="bullet"/>
      <w:lvlText w:val="-"/>
      <w:lvlJc w:val="left"/>
      <w:pPr>
        <w:ind w:left="587" w:hanging="360"/>
      </w:pPr>
      <w:rPr>
        <w:rFonts w:ascii="Segoe UI" w:eastAsiaTheme="minorEastAsia" w:hAnsi="Segoe UI" w:cs="Segoe UI" w:hint="default"/>
      </w:rPr>
    </w:lvl>
    <w:lvl w:ilvl="1" w:tplc="0C090003" w:tentative="1">
      <w:start w:val="1"/>
      <w:numFmt w:val="bullet"/>
      <w:lvlText w:val="o"/>
      <w:lvlJc w:val="left"/>
      <w:pPr>
        <w:ind w:left="1307" w:hanging="360"/>
      </w:pPr>
      <w:rPr>
        <w:rFonts w:ascii="Courier New" w:hAnsi="Courier New" w:cs="Courier New" w:hint="default"/>
      </w:rPr>
    </w:lvl>
    <w:lvl w:ilvl="2" w:tplc="0C090005" w:tentative="1">
      <w:start w:val="1"/>
      <w:numFmt w:val="bullet"/>
      <w:lvlText w:val=""/>
      <w:lvlJc w:val="left"/>
      <w:pPr>
        <w:ind w:left="2027" w:hanging="360"/>
      </w:pPr>
      <w:rPr>
        <w:rFonts w:ascii="Wingdings" w:hAnsi="Wingdings" w:hint="default"/>
      </w:rPr>
    </w:lvl>
    <w:lvl w:ilvl="3" w:tplc="0C090001" w:tentative="1">
      <w:start w:val="1"/>
      <w:numFmt w:val="bullet"/>
      <w:lvlText w:val=""/>
      <w:lvlJc w:val="left"/>
      <w:pPr>
        <w:ind w:left="2747" w:hanging="360"/>
      </w:pPr>
      <w:rPr>
        <w:rFonts w:ascii="Symbol" w:hAnsi="Symbol" w:hint="default"/>
      </w:rPr>
    </w:lvl>
    <w:lvl w:ilvl="4" w:tplc="0C090003" w:tentative="1">
      <w:start w:val="1"/>
      <w:numFmt w:val="bullet"/>
      <w:lvlText w:val="o"/>
      <w:lvlJc w:val="left"/>
      <w:pPr>
        <w:ind w:left="3467" w:hanging="360"/>
      </w:pPr>
      <w:rPr>
        <w:rFonts w:ascii="Courier New" w:hAnsi="Courier New" w:cs="Courier New" w:hint="default"/>
      </w:rPr>
    </w:lvl>
    <w:lvl w:ilvl="5" w:tplc="0C090005" w:tentative="1">
      <w:start w:val="1"/>
      <w:numFmt w:val="bullet"/>
      <w:lvlText w:val=""/>
      <w:lvlJc w:val="left"/>
      <w:pPr>
        <w:ind w:left="4187" w:hanging="360"/>
      </w:pPr>
      <w:rPr>
        <w:rFonts w:ascii="Wingdings" w:hAnsi="Wingdings" w:hint="default"/>
      </w:rPr>
    </w:lvl>
    <w:lvl w:ilvl="6" w:tplc="0C090001" w:tentative="1">
      <w:start w:val="1"/>
      <w:numFmt w:val="bullet"/>
      <w:lvlText w:val=""/>
      <w:lvlJc w:val="left"/>
      <w:pPr>
        <w:ind w:left="4907" w:hanging="360"/>
      </w:pPr>
      <w:rPr>
        <w:rFonts w:ascii="Symbol" w:hAnsi="Symbol" w:hint="default"/>
      </w:rPr>
    </w:lvl>
    <w:lvl w:ilvl="7" w:tplc="0C090003" w:tentative="1">
      <w:start w:val="1"/>
      <w:numFmt w:val="bullet"/>
      <w:lvlText w:val="o"/>
      <w:lvlJc w:val="left"/>
      <w:pPr>
        <w:ind w:left="5627" w:hanging="360"/>
      </w:pPr>
      <w:rPr>
        <w:rFonts w:ascii="Courier New" w:hAnsi="Courier New" w:cs="Courier New" w:hint="default"/>
      </w:rPr>
    </w:lvl>
    <w:lvl w:ilvl="8" w:tplc="0C090005" w:tentative="1">
      <w:start w:val="1"/>
      <w:numFmt w:val="bullet"/>
      <w:lvlText w:val=""/>
      <w:lvlJc w:val="left"/>
      <w:pPr>
        <w:ind w:left="6347" w:hanging="360"/>
      </w:pPr>
      <w:rPr>
        <w:rFonts w:ascii="Wingdings" w:hAnsi="Wingdings" w:hint="default"/>
      </w:rPr>
    </w:lvl>
  </w:abstractNum>
  <w:abstractNum w:abstractNumId="6" w15:restartNumberingAfterBreak="0">
    <w:nsid w:val="0EC9708D"/>
    <w:multiLevelType w:val="hybridMultilevel"/>
    <w:tmpl w:val="FAD0A910"/>
    <w:lvl w:ilvl="0" w:tplc="80604D4E">
      <w:start w:val="12"/>
      <w:numFmt w:val="bullet"/>
      <w:lvlText w:val="-"/>
      <w:lvlJc w:val="left"/>
      <w:pPr>
        <w:ind w:left="587" w:hanging="360"/>
      </w:pPr>
      <w:rPr>
        <w:rFonts w:ascii="Segoe UI Semilight" w:eastAsia="Segoe UI" w:hAnsi="Segoe UI Semilight" w:cs="Segoe UI Semilight" w:hint="default"/>
      </w:rPr>
    </w:lvl>
    <w:lvl w:ilvl="1" w:tplc="0C090003" w:tentative="1">
      <w:start w:val="1"/>
      <w:numFmt w:val="bullet"/>
      <w:lvlText w:val="o"/>
      <w:lvlJc w:val="left"/>
      <w:pPr>
        <w:ind w:left="1307" w:hanging="360"/>
      </w:pPr>
      <w:rPr>
        <w:rFonts w:ascii="Courier New" w:hAnsi="Courier New" w:cs="Courier New" w:hint="default"/>
      </w:rPr>
    </w:lvl>
    <w:lvl w:ilvl="2" w:tplc="0C090005" w:tentative="1">
      <w:start w:val="1"/>
      <w:numFmt w:val="bullet"/>
      <w:lvlText w:val=""/>
      <w:lvlJc w:val="left"/>
      <w:pPr>
        <w:ind w:left="2027" w:hanging="360"/>
      </w:pPr>
      <w:rPr>
        <w:rFonts w:ascii="Wingdings" w:hAnsi="Wingdings" w:hint="default"/>
      </w:rPr>
    </w:lvl>
    <w:lvl w:ilvl="3" w:tplc="0C090001" w:tentative="1">
      <w:start w:val="1"/>
      <w:numFmt w:val="bullet"/>
      <w:lvlText w:val=""/>
      <w:lvlJc w:val="left"/>
      <w:pPr>
        <w:ind w:left="2747" w:hanging="360"/>
      </w:pPr>
      <w:rPr>
        <w:rFonts w:ascii="Symbol" w:hAnsi="Symbol" w:hint="default"/>
      </w:rPr>
    </w:lvl>
    <w:lvl w:ilvl="4" w:tplc="0C090003" w:tentative="1">
      <w:start w:val="1"/>
      <w:numFmt w:val="bullet"/>
      <w:lvlText w:val="o"/>
      <w:lvlJc w:val="left"/>
      <w:pPr>
        <w:ind w:left="3467" w:hanging="360"/>
      </w:pPr>
      <w:rPr>
        <w:rFonts w:ascii="Courier New" w:hAnsi="Courier New" w:cs="Courier New" w:hint="default"/>
      </w:rPr>
    </w:lvl>
    <w:lvl w:ilvl="5" w:tplc="0C090005" w:tentative="1">
      <w:start w:val="1"/>
      <w:numFmt w:val="bullet"/>
      <w:lvlText w:val=""/>
      <w:lvlJc w:val="left"/>
      <w:pPr>
        <w:ind w:left="4187" w:hanging="360"/>
      </w:pPr>
      <w:rPr>
        <w:rFonts w:ascii="Wingdings" w:hAnsi="Wingdings" w:hint="default"/>
      </w:rPr>
    </w:lvl>
    <w:lvl w:ilvl="6" w:tplc="0C090001" w:tentative="1">
      <w:start w:val="1"/>
      <w:numFmt w:val="bullet"/>
      <w:lvlText w:val=""/>
      <w:lvlJc w:val="left"/>
      <w:pPr>
        <w:ind w:left="4907" w:hanging="360"/>
      </w:pPr>
      <w:rPr>
        <w:rFonts w:ascii="Symbol" w:hAnsi="Symbol" w:hint="default"/>
      </w:rPr>
    </w:lvl>
    <w:lvl w:ilvl="7" w:tplc="0C090003" w:tentative="1">
      <w:start w:val="1"/>
      <w:numFmt w:val="bullet"/>
      <w:lvlText w:val="o"/>
      <w:lvlJc w:val="left"/>
      <w:pPr>
        <w:ind w:left="5627" w:hanging="360"/>
      </w:pPr>
      <w:rPr>
        <w:rFonts w:ascii="Courier New" w:hAnsi="Courier New" w:cs="Courier New" w:hint="default"/>
      </w:rPr>
    </w:lvl>
    <w:lvl w:ilvl="8" w:tplc="0C090005" w:tentative="1">
      <w:start w:val="1"/>
      <w:numFmt w:val="bullet"/>
      <w:lvlText w:val=""/>
      <w:lvlJc w:val="left"/>
      <w:pPr>
        <w:ind w:left="6347" w:hanging="360"/>
      </w:pPr>
      <w:rPr>
        <w:rFonts w:ascii="Wingdings" w:hAnsi="Wingdings" w:hint="default"/>
      </w:rPr>
    </w:lvl>
  </w:abstractNum>
  <w:abstractNum w:abstractNumId="7" w15:restartNumberingAfterBreak="0">
    <w:nsid w:val="0FAF6F03"/>
    <w:multiLevelType w:val="hybridMultilevel"/>
    <w:tmpl w:val="4CF49542"/>
    <w:lvl w:ilvl="0" w:tplc="6C069990">
      <w:start w:val="1"/>
      <w:numFmt w:val="bullet"/>
      <w:pStyle w:val="Listbullets-Level3"/>
      <w:lvlText w:val="o"/>
      <w:lvlJc w:val="left"/>
      <w:pPr>
        <w:ind w:left="1134" w:hanging="283"/>
      </w:pPr>
      <w:rPr>
        <w:rFonts w:ascii="Courier New" w:hAnsi="Courier New"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8" w15:restartNumberingAfterBreak="0">
    <w:nsid w:val="126905F7"/>
    <w:multiLevelType w:val="hybridMultilevel"/>
    <w:tmpl w:val="E602913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31D7B3E"/>
    <w:multiLevelType w:val="hybridMultilevel"/>
    <w:tmpl w:val="73F052FE"/>
    <w:lvl w:ilvl="0" w:tplc="2F9867C8">
      <w:numFmt w:val="bullet"/>
      <w:lvlText w:val="-"/>
      <w:lvlJc w:val="left"/>
      <w:pPr>
        <w:ind w:left="720" w:hanging="360"/>
      </w:pPr>
      <w:rPr>
        <w:rFonts w:ascii="Segoe UI" w:eastAsiaTheme="minorEastAsia" w:hAnsi="Segoe UI" w:cs="Segoe U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3A3105B"/>
    <w:multiLevelType w:val="hybridMultilevel"/>
    <w:tmpl w:val="2F88CC68"/>
    <w:lvl w:ilvl="0" w:tplc="93300146">
      <w:start w:val="1"/>
      <w:numFmt w:val="decimal"/>
      <w:pStyle w:val="B2-Listnumbers"/>
      <w:lvlText w:val="%1."/>
      <w:lvlJc w:val="left"/>
      <w:pPr>
        <w:ind w:left="947" w:hanging="360"/>
      </w:pPr>
    </w:lvl>
    <w:lvl w:ilvl="1" w:tplc="0C090019" w:tentative="1">
      <w:start w:val="1"/>
      <w:numFmt w:val="lowerLetter"/>
      <w:lvlText w:val="%2."/>
      <w:lvlJc w:val="left"/>
      <w:pPr>
        <w:ind w:left="1667" w:hanging="360"/>
      </w:pPr>
    </w:lvl>
    <w:lvl w:ilvl="2" w:tplc="0C09001B" w:tentative="1">
      <w:start w:val="1"/>
      <w:numFmt w:val="lowerRoman"/>
      <w:lvlText w:val="%3."/>
      <w:lvlJc w:val="right"/>
      <w:pPr>
        <w:ind w:left="2387" w:hanging="180"/>
      </w:pPr>
    </w:lvl>
    <w:lvl w:ilvl="3" w:tplc="0C09000F" w:tentative="1">
      <w:start w:val="1"/>
      <w:numFmt w:val="decimal"/>
      <w:lvlText w:val="%4."/>
      <w:lvlJc w:val="left"/>
      <w:pPr>
        <w:ind w:left="3107" w:hanging="360"/>
      </w:pPr>
    </w:lvl>
    <w:lvl w:ilvl="4" w:tplc="0C090019" w:tentative="1">
      <w:start w:val="1"/>
      <w:numFmt w:val="lowerLetter"/>
      <w:lvlText w:val="%5."/>
      <w:lvlJc w:val="left"/>
      <w:pPr>
        <w:ind w:left="3827" w:hanging="360"/>
      </w:pPr>
    </w:lvl>
    <w:lvl w:ilvl="5" w:tplc="0C09001B" w:tentative="1">
      <w:start w:val="1"/>
      <w:numFmt w:val="lowerRoman"/>
      <w:lvlText w:val="%6."/>
      <w:lvlJc w:val="right"/>
      <w:pPr>
        <w:ind w:left="4547" w:hanging="180"/>
      </w:pPr>
    </w:lvl>
    <w:lvl w:ilvl="6" w:tplc="0C09000F" w:tentative="1">
      <w:start w:val="1"/>
      <w:numFmt w:val="decimal"/>
      <w:lvlText w:val="%7."/>
      <w:lvlJc w:val="left"/>
      <w:pPr>
        <w:ind w:left="5267" w:hanging="360"/>
      </w:pPr>
    </w:lvl>
    <w:lvl w:ilvl="7" w:tplc="0C090019" w:tentative="1">
      <w:start w:val="1"/>
      <w:numFmt w:val="lowerLetter"/>
      <w:lvlText w:val="%8."/>
      <w:lvlJc w:val="left"/>
      <w:pPr>
        <w:ind w:left="5987" w:hanging="360"/>
      </w:pPr>
    </w:lvl>
    <w:lvl w:ilvl="8" w:tplc="0C09001B" w:tentative="1">
      <w:start w:val="1"/>
      <w:numFmt w:val="lowerRoman"/>
      <w:lvlText w:val="%9."/>
      <w:lvlJc w:val="right"/>
      <w:pPr>
        <w:ind w:left="6707" w:hanging="180"/>
      </w:pPr>
    </w:lvl>
  </w:abstractNum>
  <w:abstractNum w:abstractNumId="11" w15:restartNumberingAfterBreak="0">
    <w:nsid w:val="15AC43F3"/>
    <w:multiLevelType w:val="hybridMultilevel"/>
    <w:tmpl w:val="7FE85BFA"/>
    <w:lvl w:ilvl="0" w:tplc="20F239EA">
      <w:start w:val="1"/>
      <w:numFmt w:val="bullet"/>
      <w:lvlText w:val=""/>
      <w:lvlJc w:val="left"/>
      <w:pPr>
        <w:ind w:left="720" w:hanging="360"/>
      </w:pPr>
      <w:rPr>
        <w:rFonts w:ascii="Symbol" w:hAnsi="Symbol" w:hint="default"/>
      </w:rPr>
    </w:lvl>
    <w:lvl w:ilvl="1" w:tplc="1CB4664A">
      <w:start w:val="1"/>
      <w:numFmt w:val="bullet"/>
      <w:lvlText w:val="o"/>
      <w:lvlJc w:val="left"/>
      <w:pPr>
        <w:ind w:left="1440" w:hanging="360"/>
      </w:pPr>
      <w:rPr>
        <w:rFonts w:ascii="Courier New" w:hAnsi="Courier New" w:hint="default"/>
      </w:rPr>
    </w:lvl>
    <w:lvl w:ilvl="2" w:tplc="8C44B066">
      <w:start w:val="1"/>
      <w:numFmt w:val="bullet"/>
      <w:lvlText w:val=""/>
      <w:lvlJc w:val="left"/>
      <w:pPr>
        <w:ind w:left="2160" w:hanging="360"/>
      </w:pPr>
      <w:rPr>
        <w:rFonts w:ascii="Wingdings" w:hAnsi="Wingdings" w:hint="default"/>
      </w:rPr>
    </w:lvl>
    <w:lvl w:ilvl="3" w:tplc="DDEC6B6E">
      <w:start w:val="1"/>
      <w:numFmt w:val="bullet"/>
      <w:lvlText w:val=""/>
      <w:lvlJc w:val="left"/>
      <w:pPr>
        <w:ind w:left="2880" w:hanging="360"/>
      </w:pPr>
      <w:rPr>
        <w:rFonts w:ascii="Symbol" w:hAnsi="Symbol" w:hint="default"/>
      </w:rPr>
    </w:lvl>
    <w:lvl w:ilvl="4" w:tplc="D3B08996">
      <w:start w:val="1"/>
      <w:numFmt w:val="bullet"/>
      <w:lvlText w:val="o"/>
      <w:lvlJc w:val="left"/>
      <w:pPr>
        <w:ind w:left="3600" w:hanging="360"/>
      </w:pPr>
      <w:rPr>
        <w:rFonts w:ascii="Courier New" w:hAnsi="Courier New" w:hint="default"/>
      </w:rPr>
    </w:lvl>
    <w:lvl w:ilvl="5" w:tplc="B7028154">
      <w:start w:val="1"/>
      <w:numFmt w:val="bullet"/>
      <w:lvlText w:val=""/>
      <w:lvlJc w:val="left"/>
      <w:pPr>
        <w:ind w:left="4320" w:hanging="360"/>
      </w:pPr>
      <w:rPr>
        <w:rFonts w:ascii="Wingdings" w:hAnsi="Wingdings" w:hint="default"/>
      </w:rPr>
    </w:lvl>
    <w:lvl w:ilvl="6" w:tplc="EE5614BC">
      <w:start w:val="1"/>
      <w:numFmt w:val="bullet"/>
      <w:lvlText w:val=""/>
      <w:lvlJc w:val="left"/>
      <w:pPr>
        <w:ind w:left="5040" w:hanging="360"/>
      </w:pPr>
      <w:rPr>
        <w:rFonts w:ascii="Symbol" w:hAnsi="Symbol" w:hint="default"/>
      </w:rPr>
    </w:lvl>
    <w:lvl w:ilvl="7" w:tplc="CD501CD0">
      <w:start w:val="1"/>
      <w:numFmt w:val="bullet"/>
      <w:lvlText w:val="o"/>
      <w:lvlJc w:val="left"/>
      <w:pPr>
        <w:ind w:left="5760" w:hanging="360"/>
      </w:pPr>
      <w:rPr>
        <w:rFonts w:ascii="Courier New" w:hAnsi="Courier New" w:hint="default"/>
      </w:rPr>
    </w:lvl>
    <w:lvl w:ilvl="8" w:tplc="AC0CC5A4">
      <w:start w:val="1"/>
      <w:numFmt w:val="bullet"/>
      <w:lvlText w:val=""/>
      <w:lvlJc w:val="left"/>
      <w:pPr>
        <w:ind w:left="6480" w:hanging="360"/>
      </w:pPr>
      <w:rPr>
        <w:rFonts w:ascii="Wingdings" w:hAnsi="Wingdings" w:hint="default"/>
      </w:rPr>
    </w:lvl>
  </w:abstractNum>
  <w:abstractNum w:abstractNumId="12" w15:restartNumberingAfterBreak="0">
    <w:nsid w:val="17C051AA"/>
    <w:multiLevelType w:val="hybridMultilevel"/>
    <w:tmpl w:val="E0083F30"/>
    <w:lvl w:ilvl="0" w:tplc="2CD8E452">
      <w:start w:val="13"/>
      <w:numFmt w:val="bullet"/>
      <w:lvlText w:val="-"/>
      <w:lvlJc w:val="left"/>
      <w:pPr>
        <w:ind w:left="587" w:hanging="360"/>
      </w:pPr>
      <w:rPr>
        <w:rFonts w:ascii="Segoe UI" w:eastAsiaTheme="minorEastAsia" w:hAnsi="Segoe UI" w:cs="Segoe UI" w:hint="default"/>
      </w:rPr>
    </w:lvl>
    <w:lvl w:ilvl="1" w:tplc="0C090003" w:tentative="1">
      <w:start w:val="1"/>
      <w:numFmt w:val="bullet"/>
      <w:lvlText w:val="o"/>
      <w:lvlJc w:val="left"/>
      <w:pPr>
        <w:ind w:left="1307" w:hanging="360"/>
      </w:pPr>
      <w:rPr>
        <w:rFonts w:ascii="Courier New" w:hAnsi="Courier New" w:cs="Courier New" w:hint="default"/>
      </w:rPr>
    </w:lvl>
    <w:lvl w:ilvl="2" w:tplc="0C090005" w:tentative="1">
      <w:start w:val="1"/>
      <w:numFmt w:val="bullet"/>
      <w:lvlText w:val=""/>
      <w:lvlJc w:val="left"/>
      <w:pPr>
        <w:ind w:left="2027" w:hanging="360"/>
      </w:pPr>
      <w:rPr>
        <w:rFonts w:ascii="Wingdings" w:hAnsi="Wingdings" w:hint="default"/>
      </w:rPr>
    </w:lvl>
    <w:lvl w:ilvl="3" w:tplc="0C090001" w:tentative="1">
      <w:start w:val="1"/>
      <w:numFmt w:val="bullet"/>
      <w:lvlText w:val=""/>
      <w:lvlJc w:val="left"/>
      <w:pPr>
        <w:ind w:left="2747" w:hanging="360"/>
      </w:pPr>
      <w:rPr>
        <w:rFonts w:ascii="Symbol" w:hAnsi="Symbol" w:hint="default"/>
      </w:rPr>
    </w:lvl>
    <w:lvl w:ilvl="4" w:tplc="0C090003" w:tentative="1">
      <w:start w:val="1"/>
      <w:numFmt w:val="bullet"/>
      <w:lvlText w:val="o"/>
      <w:lvlJc w:val="left"/>
      <w:pPr>
        <w:ind w:left="3467" w:hanging="360"/>
      </w:pPr>
      <w:rPr>
        <w:rFonts w:ascii="Courier New" w:hAnsi="Courier New" w:cs="Courier New" w:hint="default"/>
      </w:rPr>
    </w:lvl>
    <w:lvl w:ilvl="5" w:tplc="0C090005" w:tentative="1">
      <w:start w:val="1"/>
      <w:numFmt w:val="bullet"/>
      <w:lvlText w:val=""/>
      <w:lvlJc w:val="left"/>
      <w:pPr>
        <w:ind w:left="4187" w:hanging="360"/>
      </w:pPr>
      <w:rPr>
        <w:rFonts w:ascii="Wingdings" w:hAnsi="Wingdings" w:hint="default"/>
      </w:rPr>
    </w:lvl>
    <w:lvl w:ilvl="6" w:tplc="0C090001" w:tentative="1">
      <w:start w:val="1"/>
      <w:numFmt w:val="bullet"/>
      <w:lvlText w:val=""/>
      <w:lvlJc w:val="left"/>
      <w:pPr>
        <w:ind w:left="4907" w:hanging="360"/>
      </w:pPr>
      <w:rPr>
        <w:rFonts w:ascii="Symbol" w:hAnsi="Symbol" w:hint="default"/>
      </w:rPr>
    </w:lvl>
    <w:lvl w:ilvl="7" w:tplc="0C090003" w:tentative="1">
      <w:start w:val="1"/>
      <w:numFmt w:val="bullet"/>
      <w:lvlText w:val="o"/>
      <w:lvlJc w:val="left"/>
      <w:pPr>
        <w:ind w:left="5627" w:hanging="360"/>
      </w:pPr>
      <w:rPr>
        <w:rFonts w:ascii="Courier New" w:hAnsi="Courier New" w:cs="Courier New" w:hint="default"/>
      </w:rPr>
    </w:lvl>
    <w:lvl w:ilvl="8" w:tplc="0C090005" w:tentative="1">
      <w:start w:val="1"/>
      <w:numFmt w:val="bullet"/>
      <w:lvlText w:val=""/>
      <w:lvlJc w:val="left"/>
      <w:pPr>
        <w:ind w:left="6347" w:hanging="360"/>
      </w:pPr>
      <w:rPr>
        <w:rFonts w:ascii="Wingdings" w:hAnsi="Wingdings" w:hint="default"/>
      </w:rPr>
    </w:lvl>
  </w:abstractNum>
  <w:abstractNum w:abstractNumId="13" w15:restartNumberingAfterBreak="0">
    <w:nsid w:val="185A7853"/>
    <w:multiLevelType w:val="hybridMultilevel"/>
    <w:tmpl w:val="9C8C3F98"/>
    <w:lvl w:ilvl="0" w:tplc="0C090001">
      <w:start w:val="1"/>
      <w:numFmt w:val="bullet"/>
      <w:lvlText w:val=""/>
      <w:lvlJc w:val="left"/>
      <w:pPr>
        <w:ind w:left="784" w:hanging="360"/>
      </w:pPr>
      <w:rPr>
        <w:rFonts w:ascii="Symbol" w:hAnsi="Symbol" w:hint="default"/>
      </w:rPr>
    </w:lvl>
    <w:lvl w:ilvl="1" w:tplc="0C090003" w:tentative="1">
      <w:start w:val="1"/>
      <w:numFmt w:val="bullet"/>
      <w:lvlText w:val="o"/>
      <w:lvlJc w:val="left"/>
      <w:pPr>
        <w:ind w:left="1504" w:hanging="360"/>
      </w:pPr>
      <w:rPr>
        <w:rFonts w:ascii="Courier New" w:hAnsi="Courier New" w:cs="Courier New" w:hint="default"/>
      </w:rPr>
    </w:lvl>
    <w:lvl w:ilvl="2" w:tplc="0C090005" w:tentative="1">
      <w:start w:val="1"/>
      <w:numFmt w:val="bullet"/>
      <w:lvlText w:val=""/>
      <w:lvlJc w:val="left"/>
      <w:pPr>
        <w:ind w:left="2224" w:hanging="360"/>
      </w:pPr>
      <w:rPr>
        <w:rFonts w:ascii="Wingdings" w:hAnsi="Wingdings" w:hint="default"/>
      </w:rPr>
    </w:lvl>
    <w:lvl w:ilvl="3" w:tplc="0C090001" w:tentative="1">
      <w:start w:val="1"/>
      <w:numFmt w:val="bullet"/>
      <w:lvlText w:val=""/>
      <w:lvlJc w:val="left"/>
      <w:pPr>
        <w:ind w:left="2944" w:hanging="360"/>
      </w:pPr>
      <w:rPr>
        <w:rFonts w:ascii="Symbol" w:hAnsi="Symbol" w:hint="default"/>
      </w:rPr>
    </w:lvl>
    <w:lvl w:ilvl="4" w:tplc="0C090003" w:tentative="1">
      <w:start w:val="1"/>
      <w:numFmt w:val="bullet"/>
      <w:lvlText w:val="o"/>
      <w:lvlJc w:val="left"/>
      <w:pPr>
        <w:ind w:left="3664" w:hanging="360"/>
      </w:pPr>
      <w:rPr>
        <w:rFonts w:ascii="Courier New" w:hAnsi="Courier New" w:cs="Courier New" w:hint="default"/>
      </w:rPr>
    </w:lvl>
    <w:lvl w:ilvl="5" w:tplc="0C090005" w:tentative="1">
      <w:start w:val="1"/>
      <w:numFmt w:val="bullet"/>
      <w:lvlText w:val=""/>
      <w:lvlJc w:val="left"/>
      <w:pPr>
        <w:ind w:left="4384" w:hanging="360"/>
      </w:pPr>
      <w:rPr>
        <w:rFonts w:ascii="Wingdings" w:hAnsi="Wingdings" w:hint="default"/>
      </w:rPr>
    </w:lvl>
    <w:lvl w:ilvl="6" w:tplc="0C090001" w:tentative="1">
      <w:start w:val="1"/>
      <w:numFmt w:val="bullet"/>
      <w:lvlText w:val=""/>
      <w:lvlJc w:val="left"/>
      <w:pPr>
        <w:ind w:left="5104" w:hanging="360"/>
      </w:pPr>
      <w:rPr>
        <w:rFonts w:ascii="Symbol" w:hAnsi="Symbol" w:hint="default"/>
      </w:rPr>
    </w:lvl>
    <w:lvl w:ilvl="7" w:tplc="0C090003" w:tentative="1">
      <w:start w:val="1"/>
      <w:numFmt w:val="bullet"/>
      <w:lvlText w:val="o"/>
      <w:lvlJc w:val="left"/>
      <w:pPr>
        <w:ind w:left="5824" w:hanging="360"/>
      </w:pPr>
      <w:rPr>
        <w:rFonts w:ascii="Courier New" w:hAnsi="Courier New" w:cs="Courier New" w:hint="default"/>
      </w:rPr>
    </w:lvl>
    <w:lvl w:ilvl="8" w:tplc="0C090005" w:tentative="1">
      <w:start w:val="1"/>
      <w:numFmt w:val="bullet"/>
      <w:lvlText w:val=""/>
      <w:lvlJc w:val="left"/>
      <w:pPr>
        <w:ind w:left="6544" w:hanging="360"/>
      </w:pPr>
      <w:rPr>
        <w:rFonts w:ascii="Wingdings" w:hAnsi="Wingdings" w:hint="default"/>
      </w:rPr>
    </w:lvl>
  </w:abstractNum>
  <w:abstractNum w:abstractNumId="14" w15:restartNumberingAfterBreak="0">
    <w:nsid w:val="19F33BBA"/>
    <w:multiLevelType w:val="hybridMultilevel"/>
    <w:tmpl w:val="84B0F132"/>
    <w:lvl w:ilvl="0" w:tplc="A8C65C80">
      <w:start w:val="1"/>
      <w:numFmt w:val="decimal"/>
      <w:pStyle w:val="Figure"/>
      <w:suff w:val="space"/>
      <w:lvlText w:val="Figure %1."/>
      <w:lvlJc w:val="left"/>
      <w:pPr>
        <w:ind w:left="567" w:hanging="567"/>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tentative="1">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1C313371"/>
    <w:multiLevelType w:val="hybridMultilevel"/>
    <w:tmpl w:val="5BCAD87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1F507AC4"/>
    <w:multiLevelType w:val="hybridMultilevel"/>
    <w:tmpl w:val="D0A01DAA"/>
    <w:lvl w:ilvl="0" w:tplc="89E456B8">
      <w:start w:val="1"/>
      <w:numFmt w:val="bullet"/>
      <w:pStyle w:val="Listbullets-Level2"/>
      <w:lvlText w:val="−"/>
      <w:lvlJc w:val="left"/>
      <w:pPr>
        <w:ind w:left="851" w:hanging="284"/>
      </w:pPr>
      <w:rPr>
        <w:rFonts w:ascii="Cardo" w:hAnsi="Cardo"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tplc="0C090003">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7" w15:restartNumberingAfterBreak="0">
    <w:nsid w:val="1FA77717"/>
    <w:multiLevelType w:val="hybridMultilevel"/>
    <w:tmpl w:val="0958AE8E"/>
    <w:lvl w:ilvl="0" w:tplc="00BC68F8">
      <w:start w:val="1"/>
      <w:numFmt w:val="bullet"/>
      <w:lvlText w:val="•"/>
      <w:lvlJc w:val="left"/>
      <w:pPr>
        <w:tabs>
          <w:tab w:val="num" w:pos="720"/>
        </w:tabs>
        <w:ind w:left="720" w:hanging="360"/>
      </w:pPr>
      <w:rPr>
        <w:rFonts w:ascii="Arial" w:hAnsi="Arial" w:hint="default"/>
      </w:rPr>
    </w:lvl>
    <w:lvl w:ilvl="1" w:tplc="8DC68F4E" w:tentative="1">
      <w:start w:val="1"/>
      <w:numFmt w:val="bullet"/>
      <w:lvlText w:val="•"/>
      <w:lvlJc w:val="left"/>
      <w:pPr>
        <w:tabs>
          <w:tab w:val="num" w:pos="1440"/>
        </w:tabs>
        <w:ind w:left="1440" w:hanging="360"/>
      </w:pPr>
      <w:rPr>
        <w:rFonts w:ascii="Arial" w:hAnsi="Arial" w:hint="default"/>
      </w:rPr>
    </w:lvl>
    <w:lvl w:ilvl="2" w:tplc="2904CE34" w:tentative="1">
      <w:start w:val="1"/>
      <w:numFmt w:val="bullet"/>
      <w:lvlText w:val="•"/>
      <w:lvlJc w:val="left"/>
      <w:pPr>
        <w:tabs>
          <w:tab w:val="num" w:pos="2160"/>
        </w:tabs>
        <w:ind w:left="2160" w:hanging="360"/>
      </w:pPr>
      <w:rPr>
        <w:rFonts w:ascii="Arial" w:hAnsi="Arial" w:hint="default"/>
      </w:rPr>
    </w:lvl>
    <w:lvl w:ilvl="3" w:tplc="30F20872" w:tentative="1">
      <w:start w:val="1"/>
      <w:numFmt w:val="bullet"/>
      <w:lvlText w:val="•"/>
      <w:lvlJc w:val="left"/>
      <w:pPr>
        <w:tabs>
          <w:tab w:val="num" w:pos="2880"/>
        </w:tabs>
        <w:ind w:left="2880" w:hanging="360"/>
      </w:pPr>
      <w:rPr>
        <w:rFonts w:ascii="Arial" w:hAnsi="Arial" w:hint="default"/>
      </w:rPr>
    </w:lvl>
    <w:lvl w:ilvl="4" w:tplc="68B2DDC2" w:tentative="1">
      <w:start w:val="1"/>
      <w:numFmt w:val="bullet"/>
      <w:lvlText w:val="•"/>
      <w:lvlJc w:val="left"/>
      <w:pPr>
        <w:tabs>
          <w:tab w:val="num" w:pos="3600"/>
        </w:tabs>
        <w:ind w:left="3600" w:hanging="360"/>
      </w:pPr>
      <w:rPr>
        <w:rFonts w:ascii="Arial" w:hAnsi="Arial" w:hint="default"/>
      </w:rPr>
    </w:lvl>
    <w:lvl w:ilvl="5" w:tplc="F0BE5DC0" w:tentative="1">
      <w:start w:val="1"/>
      <w:numFmt w:val="bullet"/>
      <w:lvlText w:val="•"/>
      <w:lvlJc w:val="left"/>
      <w:pPr>
        <w:tabs>
          <w:tab w:val="num" w:pos="4320"/>
        </w:tabs>
        <w:ind w:left="4320" w:hanging="360"/>
      </w:pPr>
      <w:rPr>
        <w:rFonts w:ascii="Arial" w:hAnsi="Arial" w:hint="default"/>
      </w:rPr>
    </w:lvl>
    <w:lvl w:ilvl="6" w:tplc="017C66D4" w:tentative="1">
      <w:start w:val="1"/>
      <w:numFmt w:val="bullet"/>
      <w:lvlText w:val="•"/>
      <w:lvlJc w:val="left"/>
      <w:pPr>
        <w:tabs>
          <w:tab w:val="num" w:pos="5040"/>
        </w:tabs>
        <w:ind w:left="5040" w:hanging="360"/>
      </w:pPr>
      <w:rPr>
        <w:rFonts w:ascii="Arial" w:hAnsi="Arial" w:hint="default"/>
      </w:rPr>
    </w:lvl>
    <w:lvl w:ilvl="7" w:tplc="42E6BCF2" w:tentative="1">
      <w:start w:val="1"/>
      <w:numFmt w:val="bullet"/>
      <w:lvlText w:val="•"/>
      <w:lvlJc w:val="left"/>
      <w:pPr>
        <w:tabs>
          <w:tab w:val="num" w:pos="5760"/>
        </w:tabs>
        <w:ind w:left="5760" w:hanging="360"/>
      </w:pPr>
      <w:rPr>
        <w:rFonts w:ascii="Arial" w:hAnsi="Arial" w:hint="default"/>
      </w:rPr>
    </w:lvl>
    <w:lvl w:ilvl="8" w:tplc="3698BC5A"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27854A54"/>
    <w:multiLevelType w:val="hybridMultilevel"/>
    <w:tmpl w:val="82487E34"/>
    <w:lvl w:ilvl="0" w:tplc="36CA3F34">
      <w:start w:val="1"/>
      <w:numFmt w:val="bullet"/>
      <w:pStyle w:val="Listbullets-Level1"/>
      <w:lvlText w:val=""/>
      <w:lvlJc w:val="left"/>
      <w:pPr>
        <w:ind w:left="425" w:hanging="283"/>
      </w:pPr>
      <w:rPr>
        <w:rFonts w:ascii="Symbol" w:hAnsi="Symbol" w:hint="default"/>
        <w:color w:val="auto"/>
        <w:sz w:val="24"/>
        <w:szCs w:val="24"/>
      </w:rPr>
    </w:lvl>
    <w:lvl w:ilvl="1" w:tplc="4BB4D094">
      <w:start w:val="1"/>
      <w:numFmt w:val="bullet"/>
      <w:lvlText w:val="o"/>
      <w:lvlJc w:val="left"/>
      <w:pPr>
        <w:ind w:left="709" w:hanging="28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tplc="1EFC13BC">
      <w:start w:val="1"/>
      <w:numFmt w:val="bullet"/>
      <w:lvlText w:val=""/>
      <w:lvlJc w:val="left"/>
      <w:pPr>
        <w:ind w:left="992" w:hanging="283"/>
      </w:pPr>
      <w:rPr>
        <w:rFonts w:ascii="Wingdings" w:hAnsi="Wingdings" w:hint="default"/>
      </w:rPr>
    </w:lvl>
    <w:lvl w:ilvl="3" w:tplc="0C090001" w:tentative="1">
      <w:start w:val="1"/>
      <w:numFmt w:val="bullet"/>
      <w:lvlText w:val=""/>
      <w:lvlJc w:val="left"/>
      <w:pPr>
        <w:ind w:left="2738" w:hanging="360"/>
      </w:pPr>
      <w:rPr>
        <w:rFonts w:ascii="Symbol" w:hAnsi="Symbol" w:hint="default"/>
      </w:rPr>
    </w:lvl>
    <w:lvl w:ilvl="4" w:tplc="0C090003" w:tentative="1">
      <w:start w:val="1"/>
      <w:numFmt w:val="bullet"/>
      <w:lvlText w:val="o"/>
      <w:lvlJc w:val="left"/>
      <w:pPr>
        <w:ind w:left="3458" w:hanging="360"/>
      </w:pPr>
      <w:rPr>
        <w:rFonts w:ascii="Courier New" w:hAnsi="Courier New" w:cs="Courier New" w:hint="default"/>
      </w:rPr>
    </w:lvl>
    <w:lvl w:ilvl="5" w:tplc="0C090005" w:tentative="1">
      <w:start w:val="1"/>
      <w:numFmt w:val="bullet"/>
      <w:lvlText w:val=""/>
      <w:lvlJc w:val="left"/>
      <w:pPr>
        <w:ind w:left="4178" w:hanging="360"/>
      </w:pPr>
      <w:rPr>
        <w:rFonts w:ascii="Wingdings" w:hAnsi="Wingdings" w:hint="default"/>
      </w:rPr>
    </w:lvl>
    <w:lvl w:ilvl="6" w:tplc="0C090001" w:tentative="1">
      <w:start w:val="1"/>
      <w:numFmt w:val="bullet"/>
      <w:lvlText w:val=""/>
      <w:lvlJc w:val="left"/>
      <w:pPr>
        <w:ind w:left="4898" w:hanging="360"/>
      </w:pPr>
      <w:rPr>
        <w:rFonts w:ascii="Symbol" w:hAnsi="Symbol" w:hint="default"/>
      </w:rPr>
    </w:lvl>
    <w:lvl w:ilvl="7" w:tplc="0C090003" w:tentative="1">
      <w:start w:val="1"/>
      <w:numFmt w:val="bullet"/>
      <w:lvlText w:val="o"/>
      <w:lvlJc w:val="left"/>
      <w:pPr>
        <w:ind w:left="5618" w:hanging="360"/>
      </w:pPr>
      <w:rPr>
        <w:rFonts w:ascii="Courier New" w:hAnsi="Courier New" w:cs="Courier New" w:hint="default"/>
      </w:rPr>
    </w:lvl>
    <w:lvl w:ilvl="8" w:tplc="0C090005" w:tentative="1">
      <w:start w:val="1"/>
      <w:numFmt w:val="bullet"/>
      <w:lvlText w:val=""/>
      <w:lvlJc w:val="left"/>
      <w:pPr>
        <w:ind w:left="6338" w:hanging="360"/>
      </w:pPr>
      <w:rPr>
        <w:rFonts w:ascii="Wingdings" w:hAnsi="Wingdings" w:hint="default"/>
      </w:rPr>
    </w:lvl>
  </w:abstractNum>
  <w:abstractNum w:abstractNumId="19" w15:restartNumberingAfterBreak="0">
    <w:nsid w:val="2BC90824"/>
    <w:multiLevelType w:val="hybridMultilevel"/>
    <w:tmpl w:val="BA0E578A"/>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7A43FD6"/>
    <w:multiLevelType w:val="hybridMultilevel"/>
    <w:tmpl w:val="AC16543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1046690"/>
    <w:multiLevelType w:val="hybridMultilevel"/>
    <w:tmpl w:val="BCDE2E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4A94974"/>
    <w:multiLevelType w:val="hybridMultilevel"/>
    <w:tmpl w:val="64DEF7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70A1E53"/>
    <w:multiLevelType w:val="hybridMultilevel"/>
    <w:tmpl w:val="27C6475E"/>
    <w:lvl w:ilvl="0" w:tplc="9008EDB0">
      <w:start w:val="11"/>
      <w:numFmt w:val="bullet"/>
      <w:lvlText w:val="-"/>
      <w:lvlJc w:val="left"/>
      <w:pPr>
        <w:ind w:left="1080" w:hanging="360"/>
      </w:pPr>
      <w:rPr>
        <w:rFonts w:ascii="Segoe UI" w:eastAsiaTheme="minorEastAsia" w:hAnsi="Segoe UI" w:cs="Segoe U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4" w15:restartNumberingAfterBreak="0">
    <w:nsid w:val="485E1403"/>
    <w:multiLevelType w:val="hybridMultilevel"/>
    <w:tmpl w:val="FF46B4F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496C7FF6"/>
    <w:multiLevelType w:val="hybridMultilevel"/>
    <w:tmpl w:val="18DAD052"/>
    <w:lvl w:ilvl="0" w:tplc="67E2A198">
      <w:start w:val="1"/>
      <w:numFmt w:val="decimal"/>
      <w:pStyle w:val="B1-listnumbers"/>
      <w:lvlText w:val="%1."/>
      <w:lvlJc w:val="left"/>
      <w:pPr>
        <w:ind w:left="840" w:hanging="360"/>
      </w:pPr>
    </w:lvl>
    <w:lvl w:ilvl="1" w:tplc="0C090019">
      <w:start w:val="1"/>
      <w:numFmt w:val="lowerLetter"/>
      <w:lvlText w:val="%2."/>
      <w:lvlJc w:val="left"/>
      <w:pPr>
        <w:ind w:left="1560" w:hanging="360"/>
      </w:pPr>
    </w:lvl>
    <w:lvl w:ilvl="2" w:tplc="0C09001B" w:tentative="1">
      <w:start w:val="1"/>
      <w:numFmt w:val="lowerRoman"/>
      <w:lvlText w:val="%3."/>
      <w:lvlJc w:val="right"/>
      <w:pPr>
        <w:ind w:left="2280" w:hanging="180"/>
      </w:pPr>
    </w:lvl>
    <w:lvl w:ilvl="3" w:tplc="0C09000F" w:tentative="1">
      <w:start w:val="1"/>
      <w:numFmt w:val="decimal"/>
      <w:lvlText w:val="%4."/>
      <w:lvlJc w:val="left"/>
      <w:pPr>
        <w:ind w:left="3000" w:hanging="360"/>
      </w:pPr>
    </w:lvl>
    <w:lvl w:ilvl="4" w:tplc="0C090019" w:tentative="1">
      <w:start w:val="1"/>
      <w:numFmt w:val="lowerLetter"/>
      <w:lvlText w:val="%5."/>
      <w:lvlJc w:val="left"/>
      <w:pPr>
        <w:ind w:left="3720" w:hanging="360"/>
      </w:pPr>
    </w:lvl>
    <w:lvl w:ilvl="5" w:tplc="0C09001B" w:tentative="1">
      <w:start w:val="1"/>
      <w:numFmt w:val="lowerRoman"/>
      <w:lvlText w:val="%6."/>
      <w:lvlJc w:val="right"/>
      <w:pPr>
        <w:ind w:left="4440" w:hanging="180"/>
      </w:pPr>
    </w:lvl>
    <w:lvl w:ilvl="6" w:tplc="0C09000F" w:tentative="1">
      <w:start w:val="1"/>
      <w:numFmt w:val="decimal"/>
      <w:lvlText w:val="%7."/>
      <w:lvlJc w:val="left"/>
      <w:pPr>
        <w:ind w:left="5160" w:hanging="360"/>
      </w:pPr>
    </w:lvl>
    <w:lvl w:ilvl="7" w:tplc="0C090019" w:tentative="1">
      <w:start w:val="1"/>
      <w:numFmt w:val="lowerLetter"/>
      <w:lvlText w:val="%8."/>
      <w:lvlJc w:val="left"/>
      <w:pPr>
        <w:ind w:left="5880" w:hanging="360"/>
      </w:pPr>
    </w:lvl>
    <w:lvl w:ilvl="8" w:tplc="0C09001B" w:tentative="1">
      <w:start w:val="1"/>
      <w:numFmt w:val="lowerRoman"/>
      <w:lvlText w:val="%9."/>
      <w:lvlJc w:val="right"/>
      <w:pPr>
        <w:ind w:left="6600" w:hanging="180"/>
      </w:pPr>
    </w:lvl>
  </w:abstractNum>
  <w:abstractNum w:abstractNumId="26" w15:restartNumberingAfterBreak="0">
    <w:nsid w:val="4E414706"/>
    <w:multiLevelType w:val="hybridMultilevel"/>
    <w:tmpl w:val="C7C43F9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50187EAD"/>
    <w:multiLevelType w:val="hybridMultilevel"/>
    <w:tmpl w:val="7B3C4E16"/>
    <w:lvl w:ilvl="0" w:tplc="A83A5BA0">
      <w:start w:val="1"/>
      <w:numFmt w:val="decimal"/>
      <w:lvlText w:val="%1."/>
      <w:lvlJc w:val="left"/>
      <w:pPr>
        <w:ind w:left="720" w:hanging="360"/>
      </w:pPr>
      <w:rPr>
        <w:rFonts w:hint="default"/>
        <w:b/>
      </w:rPr>
    </w:lvl>
    <w:lvl w:ilvl="1" w:tplc="FE082A08">
      <w:start w:val="1"/>
      <w:numFmt w:val="lowerLetter"/>
      <w:lvlText w:val="%2)"/>
      <w:lvlJc w:val="left"/>
      <w:pPr>
        <w:ind w:left="1440" w:hanging="360"/>
      </w:pPr>
      <w:rPr>
        <w:rFonts w:hint="default"/>
        <w:b/>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5695265"/>
    <w:multiLevelType w:val="hybridMultilevel"/>
    <w:tmpl w:val="7798603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22164B4"/>
    <w:multiLevelType w:val="hybridMultilevel"/>
    <w:tmpl w:val="21F062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5EE2162"/>
    <w:multiLevelType w:val="hybridMultilevel"/>
    <w:tmpl w:val="93D8664E"/>
    <w:lvl w:ilvl="0" w:tplc="E42AC510">
      <w:start w:val="5"/>
      <w:numFmt w:val="bullet"/>
      <w:lvlText w:val="-"/>
      <w:lvlJc w:val="left"/>
      <w:pPr>
        <w:ind w:left="1080" w:hanging="360"/>
      </w:pPr>
      <w:rPr>
        <w:rFonts w:ascii="Segoe UI" w:eastAsia="Times New Roman" w:hAnsi="Segoe UI" w:cs="Segoe U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1" w15:restartNumberingAfterBreak="0">
    <w:nsid w:val="682F174D"/>
    <w:multiLevelType w:val="hybridMultilevel"/>
    <w:tmpl w:val="414A14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8844CB8"/>
    <w:multiLevelType w:val="hybridMultilevel"/>
    <w:tmpl w:val="D6D424B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69355AC6"/>
    <w:multiLevelType w:val="hybridMultilevel"/>
    <w:tmpl w:val="4D24BC1A"/>
    <w:lvl w:ilvl="0" w:tplc="E5BE691C">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15:restartNumberingAfterBreak="0">
    <w:nsid w:val="6A800901"/>
    <w:multiLevelType w:val="hybridMultilevel"/>
    <w:tmpl w:val="CD585D54"/>
    <w:lvl w:ilvl="0" w:tplc="9F3061D0">
      <w:start w:val="1"/>
      <w:numFmt w:val="bullet"/>
      <w:lvlText w:val="-"/>
      <w:lvlJc w:val="left"/>
      <w:pPr>
        <w:ind w:left="720" w:hanging="360"/>
      </w:pPr>
      <w:rPr>
        <w:rFonts w:ascii="Segoe UI" w:eastAsiaTheme="minorEastAsia" w:hAnsi="Segoe UI" w:cs="Segoe U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E377F29"/>
    <w:multiLevelType w:val="hybridMultilevel"/>
    <w:tmpl w:val="3328EE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EE51B32"/>
    <w:multiLevelType w:val="hybridMultilevel"/>
    <w:tmpl w:val="F2CE71E2"/>
    <w:lvl w:ilvl="0" w:tplc="5E348A7E">
      <w:start w:val="1"/>
      <w:numFmt w:val="decimal"/>
      <w:pStyle w:val="TBLNumberedList"/>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72004041"/>
    <w:multiLevelType w:val="hybridMultilevel"/>
    <w:tmpl w:val="A468BD04"/>
    <w:lvl w:ilvl="0" w:tplc="CD747032">
      <w:start w:val="1"/>
      <w:numFmt w:val="bullet"/>
      <w:lvlText w:val="•"/>
      <w:lvlJc w:val="left"/>
      <w:pPr>
        <w:tabs>
          <w:tab w:val="num" w:pos="720"/>
        </w:tabs>
        <w:ind w:left="720" w:hanging="360"/>
      </w:pPr>
      <w:rPr>
        <w:rFonts w:ascii="Arial" w:hAnsi="Arial" w:hint="default"/>
      </w:rPr>
    </w:lvl>
    <w:lvl w:ilvl="1" w:tplc="CABAE5D0" w:tentative="1">
      <w:start w:val="1"/>
      <w:numFmt w:val="bullet"/>
      <w:lvlText w:val="•"/>
      <w:lvlJc w:val="left"/>
      <w:pPr>
        <w:tabs>
          <w:tab w:val="num" w:pos="1440"/>
        </w:tabs>
        <w:ind w:left="1440" w:hanging="360"/>
      </w:pPr>
      <w:rPr>
        <w:rFonts w:ascii="Arial" w:hAnsi="Arial" w:hint="default"/>
      </w:rPr>
    </w:lvl>
    <w:lvl w:ilvl="2" w:tplc="159661C2">
      <w:start w:val="1"/>
      <w:numFmt w:val="bullet"/>
      <w:lvlText w:val="•"/>
      <w:lvlJc w:val="left"/>
      <w:pPr>
        <w:tabs>
          <w:tab w:val="num" w:pos="2160"/>
        </w:tabs>
        <w:ind w:left="2160" w:hanging="360"/>
      </w:pPr>
      <w:rPr>
        <w:rFonts w:ascii="Arial" w:hAnsi="Arial" w:hint="default"/>
      </w:rPr>
    </w:lvl>
    <w:lvl w:ilvl="3" w:tplc="C0A4F8E6" w:tentative="1">
      <w:start w:val="1"/>
      <w:numFmt w:val="bullet"/>
      <w:lvlText w:val="•"/>
      <w:lvlJc w:val="left"/>
      <w:pPr>
        <w:tabs>
          <w:tab w:val="num" w:pos="2880"/>
        </w:tabs>
        <w:ind w:left="2880" w:hanging="360"/>
      </w:pPr>
      <w:rPr>
        <w:rFonts w:ascii="Arial" w:hAnsi="Arial" w:hint="default"/>
      </w:rPr>
    </w:lvl>
    <w:lvl w:ilvl="4" w:tplc="35C2C89C" w:tentative="1">
      <w:start w:val="1"/>
      <w:numFmt w:val="bullet"/>
      <w:lvlText w:val="•"/>
      <w:lvlJc w:val="left"/>
      <w:pPr>
        <w:tabs>
          <w:tab w:val="num" w:pos="3600"/>
        </w:tabs>
        <w:ind w:left="3600" w:hanging="360"/>
      </w:pPr>
      <w:rPr>
        <w:rFonts w:ascii="Arial" w:hAnsi="Arial" w:hint="default"/>
      </w:rPr>
    </w:lvl>
    <w:lvl w:ilvl="5" w:tplc="B2E464B8" w:tentative="1">
      <w:start w:val="1"/>
      <w:numFmt w:val="bullet"/>
      <w:lvlText w:val="•"/>
      <w:lvlJc w:val="left"/>
      <w:pPr>
        <w:tabs>
          <w:tab w:val="num" w:pos="4320"/>
        </w:tabs>
        <w:ind w:left="4320" w:hanging="360"/>
      </w:pPr>
      <w:rPr>
        <w:rFonts w:ascii="Arial" w:hAnsi="Arial" w:hint="default"/>
      </w:rPr>
    </w:lvl>
    <w:lvl w:ilvl="6" w:tplc="7CCE618C" w:tentative="1">
      <w:start w:val="1"/>
      <w:numFmt w:val="bullet"/>
      <w:lvlText w:val="•"/>
      <w:lvlJc w:val="left"/>
      <w:pPr>
        <w:tabs>
          <w:tab w:val="num" w:pos="5040"/>
        </w:tabs>
        <w:ind w:left="5040" w:hanging="360"/>
      </w:pPr>
      <w:rPr>
        <w:rFonts w:ascii="Arial" w:hAnsi="Arial" w:hint="default"/>
      </w:rPr>
    </w:lvl>
    <w:lvl w:ilvl="7" w:tplc="C0306384" w:tentative="1">
      <w:start w:val="1"/>
      <w:numFmt w:val="bullet"/>
      <w:lvlText w:val="•"/>
      <w:lvlJc w:val="left"/>
      <w:pPr>
        <w:tabs>
          <w:tab w:val="num" w:pos="5760"/>
        </w:tabs>
        <w:ind w:left="5760" w:hanging="360"/>
      </w:pPr>
      <w:rPr>
        <w:rFonts w:ascii="Arial" w:hAnsi="Arial" w:hint="default"/>
      </w:rPr>
    </w:lvl>
    <w:lvl w:ilvl="8" w:tplc="31805ACC"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734D32FC"/>
    <w:multiLevelType w:val="hybridMultilevel"/>
    <w:tmpl w:val="A926BDDC"/>
    <w:lvl w:ilvl="0" w:tplc="A788A44C">
      <w:numFmt w:val="bullet"/>
      <w:lvlText w:val="-"/>
      <w:lvlJc w:val="left"/>
      <w:pPr>
        <w:ind w:left="1080" w:hanging="360"/>
      </w:pPr>
      <w:rPr>
        <w:rFonts w:ascii="Segoe UI" w:eastAsia="Times New Roman" w:hAnsi="Segoe UI" w:cs="Segoe U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9" w15:restartNumberingAfterBreak="0">
    <w:nsid w:val="758C400B"/>
    <w:multiLevelType w:val="hybridMultilevel"/>
    <w:tmpl w:val="5636CE1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76252AE0"/>
    <w:multiLevelType w:val="hybridMultilevel"/>
    <w:tmpl w:val="322C49B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1" w15:restartNumberingAfterBreak="0">
    <w:nsid w:val="781170D5"/>
    <w:multiLevelType w:val="hybridMultilevel"/>
    <w:tmpl w:val="E166BC30"/>
    <w:lvl w:ilvl="0" w:tplc="CBC85C00">
      <w:start w:val="1"/>
      <w:numFmt w:val="decimal"/>
      <w:pStyle w:val="Listnumbers-Level1"/>
      <w:lvlText w:val="%1."/>
      <w:lvlJc w:val="left"/>
      <w:pPr>
        <w:ind w:left="567" w:hanging="283"/>
      </w:pPr>
      <w:rPr>
        <w:rFonts w:hint="default"/>
      </w:rPr>
    </w:lvl>
    <w:lvl w:ilvl="1" w:tplc="1FAA0FEC">
      <w:start w:val="1"/>
      <w:numFmt w:val="lowerLetter"/>
      <w:pStyle w:val="Listnumbers-level2"/>
      <w:lvlText w:val="%2."/>
      <w:lvlJc w:val="left"/>
      <w:pPr>
        <w:ind w:left="851" w:hanging="284"/>
      </w:pPr>
      <w:rPr>
        <w:rFonts w:hint="default"/>
      </w:rPr>
    </w:lvl>
    <w:lvl w:ilvl="2" w:tplc="65FAA32A">
      <w:start w:val="1"/>
      <w:numFmt w:val="lowerRoman"/>
      <w:pStyle w:val="Listnumbers-Level3"/>
      <w:lvlText w:val="%3."/>
      <w:lvlJc w:val="right"/>
      <w:pPr>
        <w:ind w:left="1134" w:hanging="170"/>
      </w:pPr>
      <w:rPr>
        <w:rFonts w:hint="default"/>
      </w:r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7DD17BD1"/>
    <w:multiLevelType w:val="hybridMultilevel"/>
    <w:tmpl w:val="A19C4ED2"/>
    <w:lvl w:ilvl="0" w:tplc="74903078">
      <w:start w:val="4"/>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1"/>
  </w:num>
  <w:num w:numId="2">
    <w:abstractNumId w:val="4"/>
  </w:num>
  <w:num w:numId="3">
    <w:abstractNumId w:val="3"/>
  </w:num>
  <w:num w:numId="4">
    <w:abstractNumId w:val="36"/>
  </w:num>
  <w:num w:numId="5">
    <w:abstractNumId w:val="18"/>
  </w:num>
  <w:num w:numId="6">
    <w:abstractNumId w:val="41"/>
  </w:num>
  <w:num w:numId="7">
    <w:abstractNumId w:val="14"/>
  </w:num>
  <w:num w:numId="8">
    <w:abstractNumId w:val="25"/>
  </w:num>
  <w:num w:numId="9">
    <w:abstractNumId w:val="10"/>
  </w:num>
  <w:num w:numId="10">
    <w:abstractNumId w:val="16"/>
  </w:num>
  <w:num w:numId="11">
    <w:abstractNumId w:val="7"/>
  </w:num>
  <w:num w:numId="12">
    <w:abstractNumId w:val="27"/>
  </w:num>
  <w:num w:numId="13">
    <w:abstractNumId w:val="22"/>
  </w:num>
  <w:num w:numId="14">
    <w:abstractNumId w:val="20"/>
  </w:num>
  <w:num w:numId="15">
    <w:abstractNumId w:val="2"/>
  </w:num>
  <w:num w:numId="16">
    <w:abstractNumId w:val="5"/>
  </w:num>
  <w:num w:numId="17">
    <w:abstractNumId w:val="12"/>
  </w:num>
  <w:num w:numId="18">
    <w:abstractNumId w:val="17"/>
  </w:num>
  <w:num w:numId="19">
    <w:abstractNumId w:val="21"/>
  </w:num>
  <w:num w:numId="20">
    <w:abstractNumId w:val="1"/>
  </w:num>
  <w:num w:numId="21">
    <w:abstractNumId w:val="31"/>
  </w:num>
  <w:num w:numId="22">
    <w:abstractNumId w:val="33"/>
  </w:num>
  <w:num w:numId="23">
    <w:abstractNumId w:val="38"/>
  </w:num>
  <w:num w:numId="24">
    <w:abstractNumId w:val="34"/>
  </w:num>
  <w:num w:numId="25">
    <w:abstractNumId w:val="23"/>
  </w:num>
  <w:num w:numId="26">
    <w:abstractNumId w:val="42"/>
  </w:num>
  <w:num w:numId="27">
    <w:abstractNumId w:val="26"/>
  </w:num>
  <w:num w:numId="28">
    <w:abstractNumId w:val="13"/>
  </w:num>
  <w:num w:numId="29">
    <w:abstractNumId w:val="9"/>
  </w:num>
  <w:num w:numId="30">
    <w:abstractNumId w:val="19"/>
  </w:num>
  <w:num w:numId="31">
    <w:abstractNumId w:val="37"/>
  </w:num>
  <w:num w:numId="32">
    <w:abstractNumId w:val="0"/>
  </w:num>
  <w:num w:numId="33">
    <w:abstractNumId w:val="32"/>
  </w:num>
  <w:num w:numId="34">
    <w:abstractNumId w:val="41"/>
    <w:lvlOverride w:ilvl="0">
      <w:startOverride w:val="1"/>
    </w:lvlOverride>
  </w:num>
  <w:num w:numId="35">
    <w:abstractNumId w:val="41"/>
    <w:lvlOverride w:ilvl="0">
      <w:startOverride w:val="1"/>
    </w:lvlOverride>
  </w:num>
  <w:num w:numId="36">
    <w:abstractNumId w:val="8"/>
  </w:num>
  <w:num w:numId="37">
    <w:abstractNumId w:val="39"/>
  </w:num>
  <w:num w:numId="38">
    <w:abstractNumId w:val="6"/>
  </w:num>
  <w:num w:numId="39">
    <w:abstractNumId w:val="35"/>
  </w:num>
  <w:num w:numId="40">
    <w:abstractNumId w:val="24"/>
  </w:num>
  <w:num w:numId="41">
    <w:abstractNumId w:val="41"/>
    <w:lvlOverride w:ilvl="0">
      <w:startOverride w:val="1"/>
    </w:lvlOverride>
  </w:num>
  <w:num w:numId="42">
    <w:abstractNumId w:val="28"/>
  </w:num>
  <w:num w:numId="43">
    <w:abstractNumId w:val="29"/>
  </w:num>
  <w:num w:numId="44">
    <w:abstractNumId w:val="40"/>
  </w:num>
  <w:num w:numId="45">
    <w:abstractNumId w:val="15"/>
  </w:num>
  <w:num w:numId="46">
    <w:abstractNumId w:val="41"/>
    <w:lvlOverride w:ilvl="0">
      <w:startOverride w:val="1"/>
    </w:lvlOverride>
  </w:num>
  <w:num w:numId="47">
    <w:abstractNumId w:val="41"/>
    <w:lvlOverride w:ilvl="0">
      <w:startOverride w:val="1"/>
    </w:lvlOverride>
  </w:num>
  <w:num w:numId="48">
    <w:abstractNumId w:val="3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removePersonalInformation/>
  <w:removeDateAndTime/>
  <w:displayBackgroundShape/>
  <w:activeWritingStyle w:appName="MSWord" w:lang="en-US" w:vendorID="64" w:dllVersion="131078" w:nlCheck="1" w:checkStyle="1"/>
  <w:activeWritingStyle w:appName="MSWord" w:lang="en-AU" w:vendorID="64" w:dllVersion="131078" w:nlCheck="1" w:checkStyle="1"/>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stylePaneSortMethod w:val="0000"/>
  <w:defaultTabStop w:val="720"/>
  <w:characterSpacingControl w:val="doNotCompress"/>
  <w:hdrShapeDefaults>
    <o:shapedefaults v:ext="edit" spidmax="6145"/>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gnword-docGUID" w:val="{9EE2C502-2276-416E-8E2D-620EBE0B149D}"/>
    <w:docVar w:name="dgnword-eventsink" w:val="937096144"/>
  </w:docVars>
  <w:rsids>
    <w:rsidRoot w:val="00673900"/>
    <w:rsid w:val="0000043B"/>
    <w:rsid w:val="0000065A"/>
    <w:rsid w:val="000015E9"/>
    <w:rsid w:val="00001BA0"/>
    <w:rsid w:val="00001CD8"/>
    <w:rsid w:val="0000201F"/>
    <w:rsid w:val="0000271F"/>
    <w:rsid w:val="00006217"/>
    <w:rsid w:val="00007611"/>
    <w:rsid w:val="00007709"/>
    <w:rsid w:val="00010836"/>
    <w:rsid w:val="00010D71"/>
    <w:rsid w:val="00011649"/>
    <w:rsid w:val="00012A6F"/>
    <w:rsid w:val="000136A2"/>
    <w:rsid w:val="000140A7"/>
    <w:rsid w:val="00014194"/>
    <w:rsid w:val="00014615"/>
    <w:rsid w:val="00014F8C"/>
    <w:rsid w:val="00015588"/>
    <w:rsid w:val="000156BB"/>
    <w:rsid w:val="00016112"/>
    <w:rsid w:val="00017900"/>
    <w:rsid w:val="0002013D"/>
    <w:rsid w:val="00024587"/>
    <w:rsid w:val="0002466F"/>
    <w:rsid w:val="00025115"/>
    <w:rsid w:val="00025961"/>
    <w:rsid w:val="00025FBA"/>
    <w:rsid w:val="00027038"/>
    <w:rsid w:val="00027325"/>
    <w:rsid w:val="00027CAD"/>
    <w:rsid w:val="00030A3D"/>
    <w:rsid w:val="00030B72"/>
    <w:rsid w:val="0003109C"/>
    <w:rsid w:val="000313BD"/>
    <w:rsid w:val="0003154E"/>
    <w:rsid w:val="00031974"/>
    <w:rsid w:val="00033305"/>
    <w:rsid w:val="00033D57"/>
    <w:rsid w:val="00033EEB"/>
    <w:rsid w:val="00034FAD"/>
    <w:rsid w:val="0003674A"/>
    <w:rsid w:val="00036C37"/>
    <w:rsid w:val="00037513"/>
    <w:rsid w:val="00040654"/>
    <w:rsid w:val="00040D49"/>
    <w:rsid w:val="00041153"/>
    <w:rsid w:val="0004133F"/>
    <w:rsid w:val="000419B0"/>
    <w:rsid w:val="00041E6D"/>
    <w:rsid w:val="000448FC"/>
    <w:rsid w:val="00044FD3"/>
    <w:rsid w:val="000474EB"/>
    <w:rsid w:val="00047678"/>
    <w:rsid w:val="00050E01"/>
    <w:rsid w:val="000540ED"/>
    <w:rsid w:val="00055589"/>
    <w:rsid w:val="0005634B"/>
    <w:rsid w:val="00056365"/>
    <w:rsid w:val="00056479"/>
    <w:rsid w:val="00061E6F"/>
    <w:rsid w:val="00062BFE"/>
    <w:rsid w:val="0006340F"/>
    <w:rsid w:val="00063569"/>
    <w:rsid w:val="0006426A"/>
    <w:rsid w:val="00064B2D"/>
    <w:rsid w:val="00065F73"/>
    <w:rsid w:val="00065FC7"/>
    <w:rsid w:val="0006627F"/>
    <w:rsid w:val="000670E8"/>
    <w:rsid w:val="0007126E"/>
    <w:rsid w:val="000713C9"/>
    <w:rsid w:val="0007180B"/>
    <w:rsid w:val="000720D3"/>
    <w:rsid w:val="000722F5"/>
    <w:rsid w:val="000734DD"/>
    <w:rsid w:val="00075486"/>
    <w:rsid w:val="0007683E"/>
    <w:rsid w:val="00076B43"/>
    <w:rsid w:val="00077646"/>
    <w:rsid w:val="00077994"/>
    <w:rsid w:val="00080454"/>
    <w:rsid w:val="000826B3"/>
    <w:rsid w:val="0008360A"/>
    <w:rsid w:val="000839B2"/>
    <w:rsid w:val="00085781"/>
    <w:rsid w:val="00086764"/>
    <w:rsid w:val="00086DBF"/>
    <w:rsid w:val="00087939"/>
    <w:rsid w:val="00090163"/>
    <w:rsid w:val="00090F06"/>
    <w:rsid w:val="00091A5B"/>
    <w:rsid w:val="00092094"/>
    <w:rsid w:val="0009250B"/>
    <w:rsid w:val="000931C0"/>
    <w:rsid w:val="000934ED"/>
    <w:rsid w:val="00094B6B"/>
    <w:rsid w:val="000956AB"/>
    <w:rsid w:val="0009622C"/>
    <w:rsid w:val="00096698"/>
    <w:rsid w:val="000968D8"/>
    <w:rsid w:val="0009734D"/>
    <w:rsid w:val="000976FB"/>
    <w:rsid w:val="000A064A"/>
    <w:rsid w:val="000A094E"/>
    <w:rsid w:val="000A127C"/>
    <w:rsid w:val="000A146D"/>
    <w:rsid w:val="000A23BB"/>
    <w:rsid w:val="000A270D"/>
    <w:rsid w:val="000A346E"/>
    <w:rsid w:val="000A3FB1"/>
    <w:rsid w:val="000A633A"/>
    <w:rsid w:val="000A6ED5"/>
    <w:rsid w:val="000A7207"/>
    <w:rsid w:val="000B2E5D"/>
    <w:rsid w:val="000B3034"/>
    <w:rsid w:val="000B3417"/>
    <w:rsid w:val="000B4B86"/>
    <w:rsid w:val="000B4E1F"/>
    <w:rsid w:val="000B59CE"/>
    <w:rsid w:val="000B5E42"/>
    <w:rsid w:val="000B6486"/>
    <w:rsid w:val="000B6A28"/>
    <w:rsid w:val="000B7E98"/>
    <w:rsid w:val="000C0203"/>
    <w:rsid w:val="000C1FB6"/>
    <w:rsid w:val="000C202C"/>
    <w:rsid w:val="000C36A2"/>
    <w:rsid w:val="000C3B8E"/>
    <w:rsid w:val="000C4EE9"/>
    <w:rsid w:val="000C5640"/>
    <w:rsid w:val="000C7E85"/>
    <w:rsid w:val="000D0941"/>
    <w:rsid w:val="000D0A61"/>
    <w:rsid w:val="000D5ECD"/>
    <w:rsid w:val="000D5F08"/>
    <w:rsid w:val="000D6417"/>
    <w:rsid w:val="000D749D"/>
    <w:rsid w:val="000E11C1"/>
    <w:rsid w:val="000E143D"/>
    <w:rsid w:val="000E1DBD"/>
    <w:rsid w:val="000E3A13"/>
    <w:rsid w:val="000E47B8"/>
    <w:rsid w:val="000E5385"/>
    <w:rsid w:val="000E6A98"/>
    <w:rsid w:val="000E6DFF"/>
    <w:rsid w:val="000E71FC"/>
    <w:rsid w:val="000E7DBA"/>
    <w:rsid w:val="000F1BE7"/>
    <w:rsid w:val="000F1E36"/>
    <w:rsid w:val="000F3577"/>
    <w:rsid w:val="000F3657"/>
    <w:rsid w:val="000F42FD"/>
    <w:rsid w:val="000F5770"/>
    <w:rsid w:val="000F5AE3"/>
    <w:rsid w:val="000F7051"/>
    <w:rsid w:val="000F7AE0"/>
    <w:rsid w:val="000F7CEA"/>
    <w:rsid w:val="00101EB1"/>
    <w:rsid w:val="00102565"/>
    <w:rsid w:val="0010407B"/>
    <w:rsid w:val="0010415B"/>
    <w:rsid w:val="001041E2"/>
    <w:rsid w:val="0010490D"/>
    <w:rsid w:val="00105530"/>
    <w:rsid w:val="00106B19"/>
    <w:rsid w:val="00106DC3"/>
    <w:rsid w:val="00107DAC"/>
    <w:rsid w:val="001102B3"/>
    <w:rsid w:val="0011077A"/>
    <w:rsid w:val="001108AD"/>
    <w:rsid w:val="00110DB2"/>
    <w:rsid w:val="00111C8E"/>
    <w:rsid w:val="00112FAA"/>
    <w:rsid w:val="00113616"/>
    <w:rsid w:val="00113AF4"/>
    <w:rsid w:val="00114BD5"/>
    <w:rsid w:val="00115264"/>
    <w:rsid w:val="00116015"/>
    <w:rsid w:val="00117A77"/>
    <w:rsid w:val="00117EE3"/>
    <w:rsid w:val="001203B6"/>
    <w:rsid w:val="001204B2"/>
    <w:rsid w:val="001215D8"/>
    <w:rsid w:val="00121A6A"/>
    <w:rsid w:val="00122087"/>
    <w:rsid w:val="00123378"/>
    <w:rsid w:val="00123402"/>
    <w:rsid w:val="0012400A"/>
    <w:rsid w:val="00124918"/>
    <w:rsid w:val="00124E52"/>
    <w:rsid w:val="001253AF"/>
    <w:rsid w:val="001254A5"/>
    <w:rsid w:val="0012614F"/>
    <w:rsid w:val="00127157"/>
    <w:rsid w:val="00127E15"/>
    <w:rsid w:val="00130CE2"/>
    <w:rsid w:val="00131212"/>
    <w:rsid w:val="00133591"/>
    <w:rsid w:val="00133F78"/>
    <w:rsid w:val="001349BD"/>
    <w:rsid w:val="001353E4"/>
    <w:rsid w:val="00136182"/>
    <w:rsid w:val="001366C1"/>
    <w:rsid w:val="0013799B"/>
    <w:rsid w:val="00137CC0"/>
    <w:rsid w:val="00140ECD"/>
    <w:rsid w:val="00141C89"/>
    <w:rsid w:val="00141DEC"/>
    <w:rsid w:val="00141F9A"/>
    <w:rsid w:val="00142334"/>
    <w:rsid w:val="001431F7"/>
    <w:rsid w:val="00143840"/>
    <w:rsid w:val="00143FA1"/>
    <w:rsid w:val="00144920"/>
    <w:rsid w:val="001451D0"/>
    <w:rsid w:val="00145458"/>
    <w:rsid w:val="00145BED"/>
    <w:rsid w:val="0014656A"/>
    <w:rsid w:val="00146965"/>
    <w:rsid w:val="00151315"/>
    <w:rsid w:val="0015232E"/>
    <w:rsid w:val="00153FDD"/>
    <w:rsid w:val="00154794"/>
    <w:rsid w:val="001558AF"/>
    <w:rsid w:val="001569C5"/>
    <w:rsid w:val="001569EE"/>
    <w:rsid w:val="00156A86"/>
    <w:rsid w:val="00157204"/>
    <w:rsid w:val="0015744F"/>
    <w:rsid w:val="0016055E"/>
    <w:rsid w:val="001611BF"/>
    <w:rsid w:val="001642B4"/>
    <w:rsid w:val="001642C7"/>
    <w:rsid w:val="001652AC"/>
    <w:rsid w:val="0016621E"/>
    <w:rsid w:val="00166238"/>
    <w:rsid w:val="00166679"/>
    <w:rsid w:val="00166B2B"/>
    <w:rsid w:val="0016736B"/>
    <w:rsid w:val="001674ED"/>
    <w:rsid w:val="001678DF"/>
    <w:rsid w:val="00167A52"/>
    <w:rsid w:val="001705FC"/>
    <w:rsid w:val="00170D07"/>
    <w:rsid w:val="00170E13"/>
    <w:rsid w:val="001711FC"/>
    <w:rsid w:val="0017225F"/>
    <w:rsid w:val="00172A22"/>
    <w:rsid w:val="0017393F"/>
    <w:rsid w:val="00173B25"/>
    <w:rsid w:val="0017408E"/>
    <w:rsid w:val="0017436A"/>
    <w:rsid w:val="00174D54"/>
    <w:rsid w:val="00177B3A"/>
    <w:rsid w:val="00182D86"/>
    <w:rsid w:val="00183FD5"/>
    <w:rsid w:val="00185286"/>
    <w:rsid w:val="00186DBC"/>
    <w:rsid w:val="00187C73"/>
    <w:rsid w:val="001917CA"/>
    <w:rsid w:val="0019246D"/>
    <w:rsid w:val="00192F55"/>
    <w:rsid w:val="00193364"/>
    <w:rsid w:val="00193DCD"/>
    <w:rsid w:val="00194237"/>
    <w:rsid w:val="001954B4"/>
    <w:rsid w:val="001954D4"/>
    <w:rsid w:val="00195B01"/>
    <w:rsid w:val="00196773"/>
    <w:rsid w:val="00196F05"/>
    <w:rsid w:val="00196FA4"/>
    <w:rsid w:val="0019760C"/>
    <w:rsid w:val="00197E27"/>
    <w:rsid w:val="00197E9B"/>
    <w:rsid w:val="001A056F"/>
    <w:rsid w:val="001A0AB4"/>
    <w:rsid w:val="001A27EE"/>
    <w:rsid w:val="001A3D1E"/>
    <w:rsid w:val="001A3FFD"/>
    <w:rsid w:val="001A469E"/>
    <w:rsid w:val="001A4BEE"/>
    <w:rsid w:val="001A4EF2"/>
    <w:rsid w:val="001A554A"/>
    <w:rsid w:val="001A57BA"/>
    <w:rsid w:val="001B0A16"/>
    <w:rsid w:val="001B0F0B"/>
    <w:rsid w:val="001B12F9"/>
    <w:rsid w:val="001B1E18"/>
    <w:rsid w:val="001B2D56"/>
    <w:rsid w:val="001B6E93"/>
    <w:rsid w:val="001B720D"/>
    <w:rsid w:val="001B7382"/>
    <w:rsid w:val="001B77BD"/>
    <w:rsid w:val="001C18B4"/>
    <w:rsid w:val="001C4AD2"/>
    <w:rsid w:val="001C4EC4"/>
    <w:rsid w:val="001C63B8"/>
    <w:rsid w:val="001C7702"/>
    <w:rsid w:val="001C7A92"/>
    <w:rsid w:val="001D1D25"/>
    <w:rsid w:val="001D2134"/>
    <w:rsid w:val="001D295C"/>
    <w:rsid w:val="001D3013"/>
    <w:rsid w:val="001D40F1"/>
    <w:rsid w:val="001D4EB9"/>
    <w:rsid w:val="001D5B70"/>
    <w:rsid w:val="001D60FE"/>
    <w:rsid w:val="001D6CCB"/>
    <w:rsid w:val="001DAE34"/>
    <w:rsid w:val="001E0276"/>
    <w:rsid w:val="001E184C"/>
    <w:rsid w:val="001E2901"/>
    <w:rsid w:val="001E3128"/>
    <w:rsid w:val="001E3BAA"/>
    <w:rsid w:val="001E4ED7"/>
    <w:rsid w:val="001E5083"/>
    <w:rsid w:val="001E649F"/>
    <w:rsid w:val="001E75BD"/>
    <w:rsid w:val="001E7E54"/>
    <w:rsid w:val="001F0AA6"/>
    <w:rsid w:val="001F135B"/>
    <w:rsid w:val="001F2D16"/>
    <w:rsid w:val="001F3A78"/>
    <w:rsid w:val="001F3D82"/>
    <w:rsid w:val="001F445A"/>
    <w:rsid w:val="001F44A1"/>
    <w:rsid w:val="001F490E"/>
    <w:rsid w:val="001F5111"/>
    <w:rsid w:val="001F57A4"/>
    <w:rsid w:val="001F5BA0"/>
    <w:rsid w:val="001F6D86"/>
    <w:rsid w:val="00200CC2"/>
    <w:rsid w:val="0020101F"/>
    <w:rsid w:val="00201062"/>
    <w:rsid w:val="00201CD9"/>
    <w:rsid w:val="00201FAF"/>
    <w:rsid w:val="00203487"/>
    <w:rsid w:val="00204164"/>
    <w:rsid w:val="0020457D"/>
    <w:rsid w:val="00204EB8"/>
    <w:rsid w:val="0020536E"/>
    <w:rsid w:val="00205F19"/>
    <w:rsid w:val="0020660F"/>
    <w:rsid w:val="00206934"/>
    <w:rsid w:val="00207B54"/>
    <w:rsid w:val="002105CD"/>
    <w:rsid w:val="0021125E"/>
    <w:rsid w:val="00212443"/>
    <w:rsid w:val="00212627"/>
    <w:rsid w:val="00212F6B"/>
    <w:rsid w:val="002132E3"/>
    <w:rsid w:val="00213BEC"/>
    <w:rsid w:val="002148AC"/>
    <w:rsid w:val="002150FD"/>
    <w:rsid w:val="002162FE"/>
    <w:rsid w:val="00217351"/>
    <w:rsid w:val="002177D6"/>
    <w:rsid w:val="002208AD"/>
    <w:rsid w:val="00220DDA"/>
    <w:rsid w:val="0022304E"/>
    <w:rsid w:val="00223837"/>
    <w:rsid w:val="00225C60"/>
    <w:rsid w:val="002266AE"/>
    <w:rsid w:val="0022700D"/>
    <w:rsid w:val="00227DB5"/>
    <w:rsid w:val="00233563"/>
    <w:rsid w:val="00233F46"/>
    <w:rsid w:val="0023560B"/>
    <w:rsid w:val="0023707B"/>
    <w:rsid w:val="00237D26"/>
    <w:rsid w:val="0024266D"/>
    <w:rsid w:val="00242C6D"/>
    <w:rsid w:val="00242D5A"/>
    <w:rsid w:val="00244193"/>
    <w:rsid w:val="002444A8"/>
    <w:rsid w:val="002446F0"/>
    <w:rsid w:val="002449D6"/>
    <w:rsid w:val="0024606B"/>
    <w:rsid w:val="002466A3"/>
    <w:rsid w:val="0024766A"/>
    <w:rsid w:val="002476F2"/>
    <w:rsid w:val="00247893"/>
    <w:rsid w:val="00247CB8"/>
    <w:rsid w:val="00251C35"/>
    <w:rsid w:val="00252E11"/>
    <w:rsid w:val="00252F57"/>
    <w:rsid w:val="0025314B"/>
    <w:rsid w:val="00253660"/>
    <w:rsid w:val="00254190"/>
    <w:rsid w:val="002563CB"/>
    <w:rsid w:val="00257224"/>
    <w:rsid w:val="00261045"/>
    <w:rsid w:val="0026241E"/>
    <w:rsid w:val="00262617"/>
    <w:rsid w:val="00262B4E"/>
    <w:rsid w:val="002656C6"/>
    <w:rsid w:val="00265BE0"/>
    <w:rsid w:val="00266557"/>
    <w:rsid w:val="0026699E"/>
    <w:rsid w:val="00266CCC"/>
    <w:rsid w:val="00270BA8"/>
    <w:rsid w:val="00270CA6"/>
    <w:rsid w:val="002713D8"/>
    <w:rsid w:val="00271896"/>
    <w:rsid w:val="0027261F"/>
    <w:rsid w:val="00272B58"/>
    <w:rsid w:val="00273113"/>
    <w:rsid w:val="002733A2"/>
    <w:rsid w:val="00273501"/>
    <w:rsid w:val="00274D42"/>
    <w:rsid w:val="00276327"/>
    <w:rsid w:val="00280802"/>
    <w:rsid w:val="0028088E"/>
    <w:rsid w:val="00281106"/>
    <w:rsid w:val="002815CD"/>
    <w:rsid w:val="00282A12"/>
    <w:rsid w:val="00283FEE"/>
    <w:rsid w:val="00284374"/>
    <w:rsid w:val="002850DD"/>
    <w:rsid w:val="00285C80"/>
    <w:rsid w:val="00285CAF"/>
    <w:rsid w:val="00287476"/>
    <w:rsid w:val="00287527"/>
    <w:rsid w:val="002877C5"/>
    <w:rsid w:val="00291E7F"/>
    <w:rsid w:val="002924B2"/>
    <w:rsid w:val="00292E2F"/>
    <w:rsid w:val="00294841"/>
    <w:rsid w:val="002962B1"/>
    <w:rsid w:val="002964B0"/>
    <w:rsid w:val="00297F75"/>
    <w:rsid w:val="002A0BCD"/>
    <w:rsid w:val="002A0C9C"/>
    <w:rsid w:val="002A0E7F"/>
    <w:rsid w:val="002A14D8"/>
    <w:rsid w:val="002A1B86"/>
    <w:rsid w:val="002A32D4"/>
    <w:rsid w:val="002A3417"/>
    <w:rsid w:val="002A4C75"/>
    <w:rsid w:val="002A5833"/>
    <w:rsid w:val="002A593D"/>
    <w:rsid w:val="002A6298"/>
    <w:rsid w:val="002A6A8C"/>
    <w:rsid w:val="002B0CC7"/>
    <w:rsid w:val="002B1CC8"/>
    <w:rsid w:val="002B3B63"/>
    <w:rsid w:val="002B3BCA"/>
    <w:rsid w:val="002B4C82"/>
    <w:rsid w:val="002B59AA"/>
    <w:rsid w:val="002B6556"/>
    <w:rsid w:val="002B661A"/>
    <w:rsid w:val="002B699A"/>
    <w:rsid w:val="002B73D7"/>
    <w:rsid w:val="002C023F"/>
    <w:rsid w:val="002C0AD2"/>
    <w:rsid w:val="002C237F"/>
    <w:rsid w:val="002C278F"/>
    <w:rsid w:val="002C2DC6"/>
    <w:rsid w:val="002C33A4"/>
    <w:rsid w:val="002C365A"/>
    <w:rsid w:val="002C3B14"/>
    <w:rsid w:val="002C6338"/>
    <w:rsid w:val="002C6C8D"/>
    <w:rsid w:val="002C6D36"/>
    <w:rsid w:val="002C7878"/>
    <w:rsid w:val="002C790C"/>
    <w:rsid w:val="002C7A05"/>
    <w:rsid w:val="002D0127"/>
    <w:rsid w:val="002D26D4"/>
    <w:rsid w:val="002D2819"/>
    <w:rsid w:val="002D2E6C"/>
    <w:rsid w:val="002D34B6"/>
    <w:rsid w:val="002D388E"/>
    <w:rsid w:val="002D4985"/>
    <w:rsid w:val="002D6B3D"/>
    <w:rsid w:val="002D6BE9"/>
    <w:rsid w:val="002D7998"/>
    <w:rsid w:val="002E0BAF"/>
    <w:rsid w:val="002E110A"/>
    <w:rsid w:val="002E2F40"/>
    <w:rsid w:val="002E3A3B"/>
    <w:rsid w:val="002E3CAE"/>
    <w:rsid w:val="002E5916"/>
    <w:rsid w:val="002E6865"/>
    <w:rsid w:val="002E6A33"/>
    <w:rsid w:val="002E7A3B"/>
    <w:rsid w:val="002F13BD"/>
    <w:rsid w:val="002F14F4"/>
    <w:rsid w:val="002F29FF"/>
    <w:rsid w:val="002F2F1D"/>
    <w:rsid w:val="002F3372"/>
    <w:rsid w:val="002F4215"/>
    <w:rsid w:val="002F4A1E"/>
    <w:rsid w:val="002F4AF4"/>
    <w:rsid w:val="002F6C38"/>
    <w:rsid w:val="002F7748"/>
    <w:rsid w:val="002F7E8C"/>
    <w:rsid w:val="003012B4"/>
    <w:rsid w:val="0030258D"/>
    <w:rsid w:val="00302FF5"/>
    <w:rsid w:val="003039B0"/>
    <w:rsid w:val="00303C55"/>
    <w:rsid w:val="00304173"/>
    <w:rsid w:val="00306DFC"/>
    <w:rsid w:val="003071CF"/>
    <w:rsid w:val="00311774"/>
    <w:rsid w:val="00311C2D"/>
    <w:rsid w:val="00312ED7"/>
    <w:rsid w:val="00313F81"/>
    <w:rsid w:val="0031401C"/>
    <w:rsid w:val="00314FCD"/>
    <w:rsid w:val="00315AD9"/>
    <w:rsid w:val="00316255"/>
    <w:rsid w:val="00317030"/>
    <w:rsid w:val="00317716"/>
    <w:rsid w:val="00317828"/>
    <w:rsid w:val="00322A21"/>
    <w:rsid w:val="0033194F"/>
    <w:rsid w:val="00332273"/>
    <w:rsid w:val="00332CC0"/>
    <w:rsid w:val="003330F5"/>
    <w:rsid w:val="0033568A"/>
    <w:rsid w:val="003359F5"/>
    <w:rsid w:val="00335E6C"/>
    <w:rsid w:val="00336217"/>
    <w:rsid w:val="0033683C"/>
    <w:rsid w:val="003406D6"/>
    <w:rsid w:val="0034098F"/>
    <w:rsid w:val="00340A33"/>
    <w:rsid w:val="003416F9"/>
    <w:rsid w:val="003417FD"/>
    <w:rsid w:val="00341BA0"/>
    <w:rsid w:val="0034259F"/>
    <w:rsid w:val="003428FD"/>
    <w:rsid w:val="00343960"/>
    <w:rsid w:val="003441FF"/>
    <w:rsid w:val="003444CF"/>
    <w:rsid w:val="003446B9"/>
    <w:rsid w:val="00344BA9"/>
    <w:rsid w:val="00346663"/>
    <w:rsid w:val="00347FAB"/>
    <w:rsid w:val="00350E6D"/>
    <w:rsid w:val="003510AD"/>
    <w:rsid w:val="003513A9"/>
    <w:rsid w:val="00353CC5"/>
    <w:rsid w:val="00353E5E"/>
    <w:rsid w:val="0035491D"/>
    <w:rsid w:val="00356862"/>
    <w:rsid w:val="0035789B"/>
    <w:rsid w:val="00361020"/>
    <w:rsid w:val="00362ADF"/>
    <w:rsid w:val="003636CC"/>
    <w:rsid w:val="00363DBD"/>
    <w:rsid w:val="00364B53"/>
    <w:rsid w:val="003662E8"/>
    <w:rsid w:val="003705EE"/>
    <w:rsid w:val="00371413"/>
    <w:rsid w:val="00371708"/>
    <w:rsid w:val="00371B88"/>
    <w:rsid w:val="00374D2A"/>
    <w:rsid w:val="00374F56"/>
    <w:rsid w:val="00375CDA"/>
    <w:rsid w:val="00376B98"/>
    <w:rsid w:val="00376FE6"/>
    <w:rsid w:val="00380695"/>
    <w:rsid w:val="00381092"/>
    <w:rsid w:val="00381318"/>
    <w:rsid w:val="003815B9"/>
    <w:rsid w:val="00381A12"/>
    <w:rsid w:val="00381B64"/>
    <w:rsid w:val="00382103"/>
    <w:rsid w:val="00382689"/>
    <w:rsid w:val="00385679"/>
    <w:rsid w:val="00385BD5"/>
    <w:rsid w:val="00385CBB"/>
    <w:rsid w:val="00385DBA"/>
    <w:rsid w:val="00390765"/>
    <w:rsid w:val="003928FF"/>
    <w:rsid w:val="00394FA0"/>
    <w:rsid w:val="0039545A"/>
    <w:rsid w:val="00395771"/>
    <w:rsid w:val="00396487"/>
    <w:rsid w:val="003971D6"/>
    <w:rsid w:val="0039726A"/>
    <w:rsid w:val="003A00D3"/>
    <w:rsid w:val="003A0664"/>
    <w:rsid w:val="003A0C2C"/>
    <w:rsid w:val="003A0CF3"/>
    <w:rsid w:val="003A14B9"/>
    <w:rsid w:val="003A1EA5"/>
    <w:rsid w:val="003A25E5"/>
    <w:rsid w:val="003A360F"/>
    <w:rsid w:val="003A453F"/>
    <w:rsid w:val="003A4578"/>
    <w:rsid w:val="003A457E"/>
    <w:rsid w:val="003A4802"/>
    <w:rsid w:val="003A4816"/>
    <w:rsid w:val="003A4A4B"/>
    <w:rsid w:val="003A7A48"/>
    <w:rsid w:val="003B12E9"/>
    <w:rsid w:val="003B19FF"/>
    <w:rsid w:val="003B1BAC"/>
    <w:rsid w:val="003B1D51"/>
    <w:rsid w:val="003B213D"/>
    <w:rsid w:val="003B2E8B"/>
    <w:rsid w:val="003B2F49"/>
    <w:rsid w:val="003B3B0E"/>
    <w:rsid w:val="003B3C5F"/>
    <w:rsid w:val="003B3C90"/>
    <w:rsid w:val="003B5A37"/>
    <w:rsid w:val="003B67F5"/>
    <w:rsid w:val="003C07C2"/>
    <w:rsid w:val="003C0A3F"/>
    <w:rsid w:val="003C13E8"/>
    <w:rsid w:val="003C181D"/>
    <w:rsid w:val="003C19F1"/>
    <w:rsid w:val="003C2947"/>
    <w:rsid w:val="003C3E0E"/>
    <w:rsid w:val="003C45E2"/>
    <w:rsid w:val="003C4A16"/>
    <w:rsid w:val="003C66B2"/>
    <w:rsid w:val="003D00E4"/>
    <w:rsid w:val="003D01C9"/>
    <w:rsid w:val="003D045B"/>
    <w:rsid w:val="003D058E"/>
    <w:rsid w:val="003D0C4C"/>
    <w:rsid w:val="003D16FE"/>
    <w:rsid w:val="003D1722"/>
    <w:rsid w:val="003D1F1A"/>
    <w:rsid w:val="003D2920"/>
    <w:rsid w:val="003D32A6"/>
    <w:rsid w:val="003D3394"/>
    <w:rsid w:val="003D35A7"/>
    <w:rsid w:val="003D4875"/>
    <w:rsid w:val="003D676D"/>
    <w:rsid w:val="003D6BAD"/>
    <w:rsid w:val="003D733F"/>
    <w:rsid w:val="003D79D4"/>
    <w:rsid w:val="003E0B5B"/>
    <w:rsid w:val="003E26B2"/>
    <w:rsid w:val="003E36EF"/>
    <w:rsid w:val="003E41E5"/>
    <w:rsid w:val="003E485A"/>
    <w:rsid w:val="003E5659"/>
    <w:rsid w:val="003E56F5"/>
    <w:rsid w:val="003E5E68"/>
    <w:rsid w:val="003E6A10"/>
    <w:rsid w:val="003E7D97"/>
    <w:rsid w:val="003F23E9"/>
    <w:rsid w:val="003F3474"/>
    <w:rsid w:val="003F394B"/>
    <w:rsid w:val="003F4019"/>
    <w:rsid w:val="003F411F"/>
    <w:rsid w:val="00400E43"/>
    <w:rsid w:val="00401175"/>
    <w:rsid w:val="00401EDD"/>
    <w:rsid w:val="004033A7"/>
    <w:rsid w:val="00404066"/>
    <w:rsid w:val="00405D3B"/>
    <w:rsid w:val="0040601E"/>
    <w:rsid w:val="00407CF5"/>
    <w:rsid w:val="00410455"/>
    <w:rsid w:val="00410632"/>
    <w:rsid w:val="00410A02"/>
    <w:rsid w:val="0041160F"/>
    <w:rsid w:val="004119AA"/>
    <w:rsid w:val="00412473"/>
    <w:rsid w:val="00412F58"/>
    <w:rsid w:val="00413742"/>
    <w:rsid w:val="00414D65"/>
    <w:rsid w:val="004156E1"/>
    <w:rsid w:val="0041581B"/>
    <w:rsid w:val="004204EB"/>
    <w:rsid w:val="00420D50"/>
    <w:rsid w:val="004211CB"/>
    <w:rsid w:val="0042161D"/>
    <w:rsid w:val="00423474"/>
    <w:rsid w:val="00423ECB"/>
    <w:rsid w:val="00426C47"/>
    <w:rsid w:val="0042734E"/>
    <w:rsid w:val="00430B96"/>
    <w:rsid w:val="004310B8"/>
    <w:rsid w:val="004315A5"/>
    <w:rsid w:val="00431778"/>
    <w:rsid w:val="00432102"/>
    <w:rsid w:val="00432BD9"/>
    <w:rsid w:val="00432F53"/>
    <w:rsid w:val="0043332E"/>
    <w:rsid w:val="00434532"/>
    <w:rsid w:val="00434642"/>
    <w:rsid w:val="004351D7"/>
    <w:rsid w:val="00435AEE"/>
    <w:rsid w:val="00437A2A"/>
    <w:rsid w:val="00441025"/>
    <w:rsid w:val="00441336"/>
    <w:rsid w:val="00443AE1"/>
    <w:rsid w:val="00443F97"/>
    <w:rsid w:val="0044430D"/>
    <w:rsid w:val="00445153"/>
    <w:rsid w:val="0044747C"/>
    <w:rsid w:val="00447727"/>
    <w:rsid w:val="00450890"/>
    <w:rsid w:val="0045503C"/>
    <w:rsid w:val="00455AA3"/>
    <w:rsid w:val="004561F1"/>
    <w:rsid w:val="004573DC"/>
    <w:rsid w:val="00460ED9"/>
    <w:rsid w:val="00461654"/>
    <w:rsid w:val="0046197F"/>
    <w:rsid w:val="004624FC"/>
    <w:rsid w:val="00464109"/>
    <w:rsid w:val="00464D89"/>
    <w:rsid w:val="00465DC0"/>
    <w:rsid w:val="00466ED6"/>
    <w:rsid w:val="0046789F"/>
    <w:rsid w:val="00471373"/>
    <w:rsid w:val="00471CCC"/>
    <w:rsid w:val="00472455"/>
    <w:rsid w:val="0047281F"/>
    <w:rsid w:val="00473320"/>
    <w:rsid w:val="004754CC"/>
    <w:rsid w:val="00475A0E"/>
    <w:rsid w:val="00475FBB"/>
    <w:rsid w:val="00476970"/>
    <w:rsid w:val="00477235"/>
    <w:rsid w:val="004802CC"/>
    <w:rsid w:val="004809D6"/>
    <w:rsid w:val="00481E54"/>
    <w:rsid w:val="004820D3"/>
    <w:rsid w:val="004827B3"/>
    <w:rsid w:val="0048287F"/>
    <w:rsid w:val="004830FF"/>
    <w:rsid w:val="0048344F"/>
    <w:rsid w:val="0048379C"/>
    <w:rsid w:val="00483B7E"/>
    <w:rsid w:val="00483D85"/>
    <w:rsid w:val="004844AF"/>
    <w:rsid w:val="00484D5A"/>
    <w:rsid w:val="0048512A"/>
    <w:rsid w:val="00485B18"/>
    <w:rsid w:val="00486149"/>
    <w:rsid w:val="004865D9"/>
    <w:rsid w:val="004876E1"/>
    <w:rsid w:val="00490578"/>
    <w:rsid w:val="00490959"/>
    <w:rsid w:val="00490B90"/>
    <w:rsid w:val="00490D7B"/>
    <w:rsid w:val="00491208"/>
    <w:rsid w:val="004914DA"/>
    <w:rsid w:val="00491C01"/>
    <w:rsid w:val="00491EC4"/>
    <w:rsid w:val="00492661"/>
    <w:rsid w:val="004934EE"/>
    <w:rsid w:val="00493B93"/>
    <w:rsid w:val="00493D8A"/>
    <w:rsid w:val="004940BD"/>
    <w:rsid w:val="0049421C"/>
    <w:rsid w:val="004946C0"/>
    <w:rsid w:val="004965AB"/>
    <w:rsid w:val="00496735"/>
    <w:rsid w:val="00497001"/>
    <w:rsid w:val="00497ACE"/>
    <w:rsid w:val="004A0635"/>
    <w:rsid w:val="004A0AC0"/>
    <w:rsid w:val="004A13A6"/>
    <w:rsid w:val="004A1DFD"/>
    <w:rsid w:val="004A3F9D"/>
    <w:rsid w:val="004A4347"/>
    <w:rsid w:val="004A5002"/>
    <w:rsid w:val="004A5042"/>
    <w:rsid w:val="004A528A"/>
    <w:rsid w:val="004A562E"/>
    <w:rsid w:val="004A5B8A"/>
    <w:rsid w:val="004A6491"/>
    <w:rsid w:val="004A6694"/>
    <w:rsid w:val="004A6DA6"/>
    <w:rsid w:val="004A794E"/>
    <w:rsid w:val="004B0586"/>
    <w:rsid w:val="004B0A44"/>
    <w:rsid w:val="004B108E"/>
    <w:rsid w:val="004B1445"/>
    <w:rsid w:val="004B20DB"/>
    <w:rsid w:val="004B2C90"/>
    <w:rsid w:val="004B37BD"/>
    <w:rsid w:val="004B3CB0"/>
    <w:rsid w:val="004B482F"/>
    <w:rsid w:val="004B58D8"/>
    <w:rsid w:val="004B5A5A"/>
    <w:rsid w:val="004B70C4"/>
    <w:rsid w:val="004B77C3"/>
    <w:rsid w:val="004C00B1"/>
    <w:rsid w:val="004C0B49"/>
    <w:rsid w:val="004C17DE"/>
    <w:rsid w:val="004C1C97"/>
    <w:rsid w:val="004C2A36"/>
    <w:rsid w:val="004C392A"/>
    <w:rsid w:val="004C3E61"/>
    <w:rsid w:val="004C4BA9"/>
    <w:rsid w:val="004C4FEE"/>
    <w:rsid w:val="004C518C"/>
    <w:rsid w:val="004C595C"/>
    <w:rsid w:val="004C62F4"/>
    <w:rsid w:val="004C64DA"/>
    <w:rsid w:val="004C719B"/>
    <w:rsid w:val="004C72A8"/>
    <w:rsid w:val="004D0AB2"/>
    <w:rsid w:val="004D0DA6"/>
    <w:rsid w:val="004D32DD"/>
    <w:rsid w:val="004D3AAB"/>
    <w:rsid w:val="004D3DBF"/>
    <w:rsid w:val="004D619D"/>
    <w:rsid w:val="004D69BA"/>
    <w:rsid w:val="004D78A8"/>
    <w:rsid w:val="004E046B"/>
    <w:rsid w:val="004E15B1"/>
    <w:rsid w:val="004E1F16"/>
    <w:rsid w:val="004E239E"/>
    <w:rsid w:val="004E3711"/>
    <w:rsid w:val="004E4C22"/>
    <w:rsid w:val="004E5054"/>
    <w:rsid w:val="004E599D"/>
    <w:rsid w:val="004E59EB"/>
    <w:rsid w:val="004F0DF4"/>
    <w:rsid w:val="004F18BC"/>
    <w:rsid w:val="004F1D06"/>
    <w:rsid w:val="004F2972"/>
    <w:rsid w:val="004F30C6"/>
    <w:rsid w:val="004F3D1B"/>
    <w:rsid w:val="004F419D"/>
    <w:rsid w:val="004F4C4F"/>
    <w:rsid w:val="004F51F8"/>
    <w:rsid w:val="004F53A9"/>
    <w:rsid w:val="004F56CA"/>
    <w:rsid w:val="004F5D92"/>
    <w:rsid w:val="00501805"/>
    <w:rsid w:val="00501C4F"/>
    <w:rsid w:val="00502113"/>
    <w:rsid w:val="00505752"/>
    <w:rsid w:val="0050584D"/>
    <w:rsid w:val="00507D31"/>
    <w:rsid w:val="00507F35"/>
    <w:rsid w:val="00512443"/>
    <w:rsid w:val="005129BE"/>
    <w:rsid w:val="005129E7"/>
    <w:rsid w:val="00512A0F"/>
    <w:rsid w:val="005138D7"/>
    <w:rsid w:val="00514645"/>
    <w:rsid w:val="005159F5"/>
    <w:rsid w:val="00520009"/>
    <w:rsid w:val="005213C2"/>
    <w:rsid w:val="00521DF1"/>
    <w:rsid w:val="005226B9"/>
    <w:rsid w:val="00522CE0"/>
    <w:rsid w:val="00522E2E"/>
    <w:rsid w:val="0052333F"/>
    <w:rsid w:val="00525B6E"/>
    <w:rsid w:val="005262DC"/>
    <w:rsid w:val="0052635B"/>
    <w:rsid w:val="005269A7"/>
    <w:rsid w:val="005271E5"/>
    <w:rsid w:val="00527F43"/>
    <w:rsid w:val="00530D17"/>
    <w:rsid w:val="00530DF2"/>
    <w:rsid w:val="0053111F"/>
    <w:rsid w:val="00532364"/>
    <w:rsid w:val="0053259F"/>
    <w:rsid w:val="005332E2"/>
    <w:rsid w:val="00533423"/>
    <w:rsid w:val="005336AE"/>
    <w:rsid w:val="005356C2"/>
    <w:rsid w:val="005356CF"/>
    <w:rsid w:val="0053614A"/>
    <w:rsid w:val="00540537"/>
    <w:rsid w:val="005429CE"/>
    <w:rsid w:val="00543058"/>
    <w:rsid w:val="005430DF"/>
    <w:rsid w:val="005448B8"/>
    <w:rsid w:val="00546192"/>
    <w:rsid w:val="0054686A"/>
    <w:rsid w:val="005468A2"/>
    <w:rsid w:val="00547718"/>
    <w:rsid w:val="00547F9D"/>
    <w:rsid w:val="00550084"/>
    <w:rsid w:val="00550B65"/>
    <w:rsid w:val="005524E0"/>
    <w:rsid w:val="00553E2C"/>
    <w:rsid w:val="00555459"/>
    <w:rsid w:val="005555FD"/>
    <w:rsid w:val="00555C9C"/>
    <w:rsid w:val="00561FB9"/>
    <w:rsid w:val="00562428"/>
    <w:rsid w:val="00563614"/>
    <w:rsid w:val="005637FF"/>
    <w:rsid w:val="00563CA1"/>
    <w:rsid w:val="00564311"/>
    <w:rsid w:val="00564B9A"/>
    <w:rsid w:val="00564F8F"/>
    <w:rsid w:val="0056602B"/>
    <w:rsid w:val="00566320"/>
    <w:rsid w:val="00571C28"/>
    <w:rsid w:val="00572126"/>
    <w:rsid w:val="005728D9"/>
    <w:rsid w:val="0057321D"/>
    <w:rsid w:val="0057332C"/>
    <w:rsid w:val="00574A34"/>
    <w:rsid w:val="00575711"/>
    <w:rsid w:val="00575BE7"/>
    <w:rsid w:val="00575C09"/>
    <w:rsid w:val="00575E3D"/>
    <w:rsid w:val="00576700"/>
    <w:rsid w:val="0057729D"/>
    <w:rsid w:val="00580F65"/>
    <w:rsid w:val="00580FFC"/>
    <w:rsid w:val="005816A6"/>
    <w:rsid w:val="005817E9"/>
    <w:rsid w:val="00585C8F"/>
    <w:rsid w:val="00586754"/>
    <w:rsid w:val="0058675E"/>
    <w:rsid w:val="00587967"/>
    <w:rsid w:val="00587EB5"/>
    <w:rsid w:val="005905BA"/>
    <w:rsid w:val="00591288"/>
    <w:rsid w:val="005917FD"/>
    <w:rsid w:val="00592FBF"/>
    <w:rsid w:val="005939DF"/>
    <w:rsid w:val="0059431F"/>
    <w:rsid w:val="00594B0D"/>
    <w:rsid w:val="005965BF"/>
    <w:rsid w:val="0059682E"/>
    <w:rsid w:val="00596C6B"/>
    <w:rsid w:val="00596E62"/>
    <w:rsid w:val="00596EEE"/>
    <w:rsid w:val="00597555"/>
    <w:rsid w:val="005A0DDA"/>
    <w:rsid w:val="005A1482"/>
    <w:rsid w:val="005A1B42"/>
    <w:rsid w:val="005A25FA"/>
    <w:rsid w:val="005A3A3E"/>
    <w:rsid w:val="005A4960"/>
    <w:rsid w:val="005A4AA1"/>
    <w:rsid w:val="005A4B46"/>
    <w:rsid w:val="005A7011"/>
    <w:rsid w:val="005A75A2"/>
    <w:rsid w:val="005A7B90"/>
    <w:rsid w:val="005B0AC5"/>
    <w:rsid w:val="005B1405"/>
    <w:rsid w:val="005B1AF0"/>
    <w:rsid w:val="005B1BA1"/>
    <w:rsid w:val="005B2283"/>
    <w:rsid w:val="005B26B4"/>
    <w:rsid w:val="005B2CEA"/>
    <w:rsid w:val="005B2F5B"/>
    <w:rsid w:val="005B3121"/>
    <w:rsid w:val="005B3358"/>
    <w:rsid w:val="005B40B0"/>
    <w:rsid w:val="005B4742"/>
    <w:rsid w:val="005B4B7F"/>
    <w:rsid w:val="005B58E9"/>
    <w:rsid w:val="005B696D"/>
    <w:rsid w:val="005B7126"/>
    <w:rsid w:val="005B7698"/>
    <w:rsid w:val="005B79AA"/>
    <w:rsid w:val="005C0F15"/>
    <w:rsid w:val="005C2EB2"/>
    <w:rsid w:val="005C322A"/>
    <w:rsid w:val="005C3C13"/>
    <w:rsid w:val="005C4AC2"/>
    <w:rsid w:val="005C62F1"/>
    <w:rsid w:val="005C7180"/>
    <w:rsid w:val="005D0300"/>
    <w:rsid w:val="005D039D"/>
    <w:rsid w:val="005D1300"/>
    <w:rsid w:val="005D300B"/>
    <w:rsid w:val="005D37CA"/>
    <w:rsid w:val="005D3B71"/>
    <w:rsid w:val="005D3D50"/>
    <w:rsid w:val="005D3E3F"/>
    <w:rsid w:val="005D4706"/>
    <w:rsid w:val="005D4A6D"/>
    <w:rsid w:val="005D506B"/>
    <w:rsid w:val="005D722D"/>
    <w:rsid w:val="005D7E00"/>
    <w:rsid w:val="005E04CE"/>
    <w:rsid w:val="005E052A"/>
    <w:rsid w:val="005E1950"/>
    <w:rsid w:val="005E2659"/>
    <w:rsid w:val="005E3DF9"/>
    <w:rsid w:val="005E403C"/>
    <w:rsid w:val="005E4437"/>
    <w:rsid w:val="005E48AE"/>
    <w:rsid w:val="005E4AF3"/>
    <w:rsid w:val="005E5BDF"/>
    <w:rsid w:val="005E62F5"/>
    <w:rsid w:val="005E6B09"/>
    <w:rsid w:val="005E76BF"/>
    <w:rsid w:val="005F01DB"/>
    <w:rsid w:val="005F100F"/>
    <w:rsid w:val="005F1A5C"/>
    <w:rsid w:val="005F2FA6"/>
    <w:rsid w:val="005F5111"/>
    <w:rsid w:val="005F5BC3"/>
    <w:rsid w:val="005F624E"/>
    <w:rsid w:val="005F6887"/>
    <w:rsid w:val="005F798E"/>
    <w:rsid w:val="005F7F87"/>
    <w:rsid w:val="00600555"/>
    <w:rsid w:val="00600B05"/>
    <w:rsid w:val="0060144F"/>
    <w:rsid w:val="00601451"/>
    <w:rsid w:val="00602031"/>
    <w:rsid w:val="0060526C"/>
    <w:rsid w:val="00605838"/>
    <w:rsid w:val="00605AFD"/>
    <w:rsid w:val="00605CD9"/>
    <w:rsid w:val="00606A07"/>
    <w:rsid w:val="006126D9"/>
    <w:rsid w:val="00613C1A"/>
    <w:rsid w:val="006147EB"/>
    <w:rsid w:val="00614A8D"/>
    <w:rsid w:val="00614C70"/>
    <w:rsid w:val="006151EE"/>
    <w:rsid w:val="00615F32"/>
    <w:rsid w:val="00617AB3"/>
    <w:rsid w:val="006200EB"/>
    <w:rsid w:val="00620155"/>
    <w:rsid w:val="00621EA3"/>
    <w:rsid w:val="00622029"/>
    <w:rsid w:val="00622289"/>
    <w:rsid w:val="006223D3"/>
    <w:rsid w:val="00622860"/>
    <w:rsid w:val="00622A29"/>
    <w:rsid w:val="006247B4"/>
    <w:rsid w:val="00624C69"/>
    <w:rsid w:val="00624CE0"/>
    <w:rsid w:val="00625065"/>
    <w:rsid w:val="00625637"/>
    <w:rsid w:val="00625968"/>
    <w:rsid w:val="00625AF0"/>
    <w:rsid w:val="00626C74"/>
    <w:rsid w:val="00627290"/>
    <w:rsid w:val="0062753B"/>
    <w:rsid w:val="006315E3"/>
    <w:rsid w:val="0063239E"/>
    <w:rsid w:val="0063290A"/>
    <w:rsid w:val="00632C8C"/>
    <w:rsid w:val="00632E3E"/>
    <w:rsid w:val="00633A32"/>
    <w:rsid w:val="00633ADE"/>
    <w:rsid w:val="0063481B"/>
    <w:rsid w:val="006378D1"/>
    <w:rsid w:val="006400E4"/>
    <w:rsid w:val="00640233"/>
    <w:rsid w:val="00640234"/>
    <w:rsid w:val="006411CF"/>
    <w:rsid w:val="00641290"/>
    <w:rsid w:val="00641EE8"/>
    <w:rsid w:val="0064343A"/>
    <w:rsid w:val="00644845"/>
    <w:rsid w:val="0064612B"/>
    <w:rsid w:val="006465CC"/>
    <w:rsid w:val="006467D2"/>
    <w:rsid w:val="0064686E"/>
    <w:rsid w:val="00647929"/>
    <w:rsid w:val="00650CD1"/>
    <w:rsid w:val="00652F4D"/>
    <w:rsid w:val="006537ED"/>
    <w:rsid w:val="00654FA2"/>
    <w:rsid w:val="006556D0"/>
    <w:rsid w:val="00656002"/>
    <w:rsid w:val="00657622"/>
    <w:rsid w:val="00657841"/>
    <w:rsid w:val="00661424"/>
    <w:rsid w:val="0066335A"/>
    <w:rsid w:val="006642FC"/>
    <w:rsid w:val="00664CA8"/>
    <w:rsid w:val="006656E5"/>
    <w:rsid w:val="00665FB6"/>
    <w:rsid w:val="0067064A"/>
    <w:rsid w:val="00673900"/>
    <w:rsid w:val="00673C3D"/>
    <w:rsid w:val="0067444F"/>
    <w:rsid w:val="006747F9"/>
    <w:rsid w:val="00675C2C"/>
    <w:rsid w:val="00677CE4"/>
    <w:rsid w:val="00680C80"/>
    <w:rsid w:val="006832A6"/>
    <w:rsid w:val="006832E3"/>
    <w:rsid w:val="00683CD2"/>
    <w:rsid w:val="0068401E"/>
    <w:rsid w:val="00687A06"/>
    <w:rsid w:val="0069358C"/>
    <w:rsid w:val="006935F3"/>
    <w:rsid w:val="006940E5"/>
    <w:rsid w:val="00694242"/>
    <w:rsid w:val="00695B6A"/>
    <w:rsid w:val="00696444"/>
    <w:rsid w:val="0069725E"/>
    <w:rsid w:val="00697F40"/>
    <w:rsid w:val="006A008F"/>
    <w:rsid w:val="006A012D"/>
    <w:rsid w:val="006A0971"/>
    <w:rsid w:val="006A1050"/>
    <w:rsid w:val="006A12BD"/>
    <w:rsid w:val="006A3003"/>
    <w:rsid w:val="006A33BA"/>
    <w:rsid w:val="006A3D23"/>
    <w:rsid w:val="006A435F"/>
    <w:rsid w:val="006A461E"/>
    <w:rsid w:val="006A5452"/>
    <w:rsid w:val="006A5AA6"/>
    <w:rsid w:val="006A5ACF"/>
    <w:rsid w:val="006A6D20"/>
    <w:rsid w:val="006A6E2C"/>
    <w:rsid w:val="006A7050"/>
    <w:rsid w:val="006A7B8F"/>
    <w:rsid w:val="006B289C"/>
    <w:rsid w:val="006B3000"/>
    <w:rsid w:val="006B444C"/>
    <w:rsid w:val="006B611A"/>
    <w:rsid w:val="006B6CDF"/>
    <w:rsid w:val="006B753E"/>
    <w:rsid w:val="006C0A59"/>
    <w:rsid w:val="006C0C42"/>
    <w:rsid w:val="006C0EA7"/>
    <w:rsid w:val="006C184B"/>
    <w:rsid w:val="006C2C72"/>
    <w:rsid w:val="006C408E"/>
    <w:rsid w:val="006C641E"/>
    <w:rsid w:val="006C7B4C"/>
    <w:rsid w:val="006C7B57"/>
    <w:rsid w:val="006D0E55"/>
    <w:rsid w:val="006D153C"/>
    <w:rsid w:val="006D1C63"/>
    <w:rsid w:val="006D2489"/>
    <w:rsid w:val="006D3701"/>
    <w:rsid w:val="006D38CE"/>
    <w:rsid w:val="006D3F43"/>
    <w:rsid w:val="006D64C0"/>
    <w:rsid w:val="006D6AD6"/>
    <w:rsid w:val="006D79FC"/>
    <w:rsid w:val="006E008B"/>
    <w:rsid w:val="006E0702"/>
    <w:rsid w:val="006E170D"/>
    <w:rsid w:val="006E322F"/>
    <w:rsid w:val="006E4755"/>
    <w:rsid w:val="006E4B08"/>
    <w:rsid w:val="006E6307"/>
    <w:rsid w:val="006E698B"/>
    <w:rsid w:val="006E6A10"/>
    <w:rsid w:val="006E6DD6"/>
    <w:rsid w:val="006F0E20"/>
    <w:rsid w:val="006F22E9"/>
    <w:rsid w:val="006F2B07"/>
    <w:rsid w:val="006F4927"/>
    <w:rsid w:val="006F4DCB"/>
    <w:rsid w:val="006F617C"/>
    <w:rsid w:val="006F6D86"/>
    <w:rsid w:val="006F719A"/>
    <w:rsid w:val="006F7AF9"/>
    <w:rsid w:val="0070187D"/>
    <w:rsid w:val="0070304D"/>
    <w:rsid w:val="007037D6"/>
    <w:rsid w:val="00703C45"/>
    <w:rsid w:val="0070630C"/>
    <w:rsid w:val="00707081"/>
    <w:rsid w:val="00711B05"/>
    <w:rsid w:val="00712E3C"/>
    <w:rsid w:val="007132F7"/>
    <w:rsid w:val="00713C8B"/>
    <w:rsid w:val="0071469A"/>
    <w:rsid w:val="00714878"/>
    <w:rsid w:val="0071548B"/>
    <w:rsid w:val="007159A2"/>
    <w:rsid w:val="00715A5F"/>
    <w:rsid w:val="0071603E"/>
    <w:rsid w:val="0071657E"/>
    <w:rsid w:val="00717237"/>
    <w:rsid w:val="007174B4"/>
    <w:rsid w:val="00717583"/>
    <w:rsid w:val="007203E4"/>
    <w:rsid w:val="007204A9"/>
    <w:rsid w:val="00720E3A"/>
    <w:rsid w:val="00721648"/>
    <w:rsid w:val="00721771"/>
    <w:rsid w:val="00721DD2"/>
    <w:rsid w:val="00721FCA"/>
    <w:rsid w:val="007228C4"/>
    <w:rsid w:val="00724AED"/>
    <w:rsid w:val="00724C24"/>
    <w:rsid w:val="007262D6"/>
    <w:rsid w:val="00727FBE"/>
    <w:rsid w:val="007303E9"/>
    <w:rsid w:val="00731265"/>
    <w:rsid w:val="0073307A"/>
    <w:rsid w:val="00734CE5"/>
    <w:rsid w:val="00734F00"/>
    <w:rsid w:val="00735933"/>
    <w:rsid w:val="00735F59"/>
    <w:rsid w:val="0073660A"/>
    <w:rsid w:val="00736893"/>
    <w:rsid w:val="007368C3"/>
    <w:rsid w:val="007404AC"/>
    <w:rsid w:val="00740CCE"/>
    <w:rsid w:val="00743AFD"/>
    <w:rsid w:val="0074564C"/>
    <w:rsid w:val="007459CD"/>
    <w:rsid w:val="00746253"/>
    <w:rsid w:val="00746ADE"/>
    <w:rsid w:val="00746C76"/>
    <w:rsid w:val="007472CC"/>
    <w:rsid w:val="007504C3"/>
    <w:rsid w:val="007507CB"/>
    <w:rsid w:val="00750816"/>
    <w:rsid w:val="00751FC1"/>
    <w:rsid w:val="0075290C"/>
    <w:rsid w:val="007539E8"/>
    <w:rsid w:val="00753C83"/>
    <w:rsid w:val="00754425"/>
    <w:rsid w:val="0075465D"/>
    <w:rsid w:val="00754A4B"/>
    <w:rsid w:val="00756929"/>
    <w:rsid w:val="0076179A"/>
    <w:rsid w:val="00761CE3"/>
    <w:rsid w:val="00761D11"/>
    <w:rsid w:val="007621FE"/>
    <w:rsid w:val="00764EA7"/>
    <w:rsid w:val="00764FD5"/>
    <w:rsid w:val="007658BE"/>
    <w:rsid w:val="00765909"/>
    <w:rsid w:val="00767154"/>
    <w:rsid w:val="00767262"/>
    <w:rsid w:val="007679E2"/>
    <w:rsid w:val="00767C54"/>
    <w:rsid w:val="00767DBB"/>
    <w:rsid w:val="007700FA"/>
    <w:rsid w:val="00770B7F"/>
    <w:rsid w:val="00772EBC"/>
    <w:rsid w:val="00772FE6"/>
    <w:rsid w:val="007744FD"/>
    <w:rsid w:val="00774646"/>
    <w:rsid w:val="00774A66"/>
    <w:rsid w:val="007752AA"/>
    <w:rsid w:val="007758BF"/>
    <w:rsid w:val="00775F24"/>
    <w:rsid w:val="00776193"/>
    <w:rsid w:val="0077773B"/>
    <w:rsid w:val="00777853"/>
    <w:rsid w:val="00780D87"/>
    <w:rsid w:val="00781695"/>
    <w:rsid w:val="00781E71"/>
    <w:rsid w:val="007822FE"/>
    <w:rsid w:val="00782E76"/>
    <w:rsid w:val="007830B7"/>
    <w:rsid w:val="00783983"/>
    <w:rsid w:val="00784B9F"/>
    <w:rsid w:val="00784F53"/>
    <w:rsid w:val="0078673D"/>
    <w:rsid w:val="0078676F"/>
    <w:rsid w:val="00787D11"/>
    <w:rsid w:val="00790B8F"/>
    <w:rsid w:val="00791229"/>
    <w:rsid w:val="00791711"/>
    <w:rsid w:val="007959B5"/>
    <w:rsid w:val="0079681B"/>
    <w:rsid w:val="0079754C"/>
    <w:rsid w:val="007A02A7"/>
    <w:rsid w:val="007A22BF"/>
    <w:rsid w:val="007A3363"/>
    <w:rsid w:val="007A48F9"/>
    <w:rsid w:val="007A5115"/>
    <w:rsid w:val="007A5799"/>
    <w:rsid w:val="007A5830"/>
    <w:rsid w:val="007A5B39"/>
    <w:rsid w:val="007A5D03"/>
    <w:rsid w:val="007A6414"/>
    <w:rsid w:val="007A6676"/>
    <w:rsid w:val="007B118A"/>
    <w:rsid w:val="007B1320"/>
    <w:rsid w:val="007B31FA"/>
    <w:rsid w:val="007B34E5"/>
    <w:rsid w:val="007B63C6"/>
    <w:rsid w:val="007B6424"/>
    <w:rsid w:val="007B6767"/>
    <w:rsid w:val="007B6B0E"/>
    <w:rsid w:val="007B7474"/>
    <w:rsid w:val="007B786D"/>
    <w:rsid w:val="007C0572"/>
    <w:rsid w:val="007C0935"/>
    <w:rsid w:val="007C4044"/>
    <w:rsid w:val="007C44DD"/>
    <w:rsid w:val="007C712E"/>
    <w:rsid w:val="007C7785"/>
    <w:rsid w:val="007D0547"/>
    <w:rsid w:val="007D2078"/>
    <w:rsid w:val="007D243C"/>
    <w:rsid w:val="007D256E"/>
    <w:rsid w:val="007D2B6E"/>
    <w:rsid w:val="007D3421"/>
    <w:rsid w:val="007D3BF0"/>
    <w:rsid w:val="007D4E99"/>
    <w:rsid w:val="007D5BEC"/>
    <w:rsid w:val="007D665C"/>
    <w:rsid w:val="007D7CEC"/>
    <w:rsid w:val="007E05F8"/>
    <w:rsid w:val="007E16D7"/>
    <w:rsid w:val="007E19A3"/>
    <w:rsid w:val="007E1B99"/>
    <w:rsid w:val="007E20D9"/>
    <w:rsid w:val="007E261B"/>
    <w:rsid w:val="007E2934"/>
    <w:rsid w:val="007E2C23"/>
    <w:rsid w:val="007E6F72"/>
    <w:rsid w:val="007E709A"/>
    <w:rsid w:val="007E711A"/>
    <w:rsid w:val="007E73AF"/>
    <w:rsid w:val="007E74DF"/>
    <w:rsid w:val="007F1199"/>
    <w:rsid w:val="007F170A"/>
    <w:rsid w:val="007F2D0E"/>
    <w:rsid w:val="007F3272"/>
    <w:rsid w:val="007F4A12"/>
    <w:rsid w:val="007F4B3F"/>
    <w:rsid w:val="007F4E93"/>
    <w:rsid w:val="007F52CB"/>
    <w:rsid w:val="007F54E5"/>
    <w:rsid w:val="007F63D7"/>
    <w:rsid w:val="00801FFB"/>
    <w:rsid w:val="00802345"/>
    <w:rsid w:val="0080301A"/>
    <w:rsid w:val="00803C0A"/>
    <w:rsid w:val="0080453D"/>
    <w:rsid w:val="008046D4"/>
    <w:rsid w:val="00805303"/>
    <w:rsid w:val="00805984"/>
    <w:rsid w:val="00805A54"/>
    <w:rsid w:val="00806E4E"/>
    <w:rsid w:val="00811191"/>
    <w:rsid w:val="00811A22"/>
    <w:rsid w:val="0081308C"/>
    <w:rsid w:val="008136AF"/>
    <w:rsid w:val="00813BA6"/>
    <w:rsid w:val="00813DD4"/>
    <w:rsid w:val="008148A9"/>
    <w:rsid w:val="00814AF7"/>
    <w:rsid w:val="00815641"/>
    <w:rsid w:val="0081583B"/>
    <w:rsid w:val="00815CFC"/>
    <w:rsid w:val="00820D10"/>
    <w:rsid w:val="00821119"/>
    <w:rsid w:val="00821167"/>
    <w:rsid w:val="008221B3"/>
    <w:rsid w:val="00823503"/>
    <w:rsid w:val="00823598"/>
    <w:rsid w:val="008248C6"/>
    <w:rsid w:val="00824AFE"/>
    <w:rsid w:val="00826058"/>
    <w:rsid w:val="00827309"/>
    <w:rsid w:val="00830106"/>
    <w:rsid w:val="008308D2"/>
    <w:rsid w:val="0083325E"/>
    <w:rsid w:val="00833792"/>
    <w:rsid w:val="00834B62"/>
    <w:rsid w:val="00836E4B"/>
    <w:rsid w:val="0083707D"/>
    <w:rsid w:val="00840289"/>
    <w:rsid w:val="0084051B"/>
    <w:rsid w:val="00842B1E"/>
    <w:rsid w:val="00842BAB"/>
    <w:rsid w:val="00842C5C"/>
    <w:rsid w:val="00843360"/>
    <w:rsid w:val="00843B60"/>
    <w:rsid w:val="0084412D"/>
    <w:rsid w:val="008447D9"/>
    <w:rsid w:val="00844D48"/>
    <w:rsid w:val="008450D5"/>
    <w:rsid w:val="00846E52"/>
    <w:rsid w:val="008505A3"/>
    <w:rsid w:val="008512C4"/>
    <w:rsid w:val="008516E5"/>
    <w:rsid w:val="0085269F"/>
    <w:rsid w:val="00852A90"/>
    <w:rsid w:val="00852B11"/>
    <w:rsid w:val="00852F35"/>
    <w:rsid w:val="00853043"/>
    <w:rsid w:val="00854BC5"/>
    <w:rsid w:val="00855222"/>
    <w:rsid w:val="008553ED"/>
    <w:rsid w:val="008565C8"/>
    <w:rsid w:val="00856C66"/>
    <w:rsid w:val="00856FC4"/>
    <w:rsid w:val="0085715E"/>
    <w:rsid w:val="00857363"/>
    <w:rsid w:val="00857410"/>
    <w:rsid w:val="008576AB"/>
    <w:rsid w:val="008576F5"/>
    <w:rsid w:val="00857915"/>
    <w:rsid w:val="00857FA5"/>
    <w:rsid w:val="00860159"/>
    <w:rsid w:val="00860CE5"/>
    <w:rsid w:val="00861083"/>
    <w:rsid w:val="00861862"/>
    <w:rsid w:val="00862E42"/>
    <w:rsid w:val="00863134"/>
    <w:rsid w:val="008638CD"/>
    <w:rsid w:val="00865BD8"/>
    <w:rsid w:val="008663AF"/>
    <w:rsid w:val="00866C97"/>
    <w:rsid w:val="00866E3A"/>
    <w:rsid w:val="00867478"/>
    <w:rsid w:val="00867649"/>
    <w:rsid w:val="0086768E"/>
    <w:rsid w:val="008676E3"/>
    <w:rsid w:val="00867DD1"/>
    <w:rsid w:val="00867EC7"/>
    <w:rsid w:val="00870171"/>
    <w:rsid w:val="00870A0B"/>
    <w:rsid w:val="0087269F"/>
    <w:rsid w:val="00873CE7"/>
    <w:rsid w:val="0087525E"/>
    <w:rsid w:val="00875D85"/>
    <w:rsid w:val="00876323"/>
    <w:rsid w:val="00876AEC"/>
    <w:rsid w:val="00877407"/>
    <w:rsid w:val="0087791C"/>
    <w:rsid w:val="008800E5"/>
    <w:rsid w:val="008803AB"/>
    <w:rsid w:val="00880485"/>
    <w:rsid w:val="0088277A"/>
    <w:rsid w:val="00883248"/>
    <w:rsid w:val="008834FA"/>
    <w:rsid w:val="0088446C"/>
    <w:rsid w:val="0088535D"/>
    <w:rsid w:val="00885F08"/>
    <w:rsid w:val="00886AC3"/>
    <w:rsid w:val="00886F13"/>
    <w:rsid w:val="0088718A"/>
    <w:rsid w:val="00887E73"/>
    <w:rsid w:val="00890919"/>
    <w:rsid w:val="0089209E"/>
    <w:rsid w:val="008921A0"/>
    <w:rsid w:val="008922C8"/>
    <w:rsid w:val="00892A06"/>
    <w:rsid w:val="00894331"/>
    <w:rsid w:val="00894602"/>
    <w:rsid w:val="00894779"/>
    <w:rsid w:val="00897730"/>
    <w:rsid w:val="0089773D"/>
    <w:rsid w:val="008A035E"/>
    <w:rsid w:val="008A0614"/>
    <w:rsid w:val="008A343D"/>
    <w:rsid w:val="008A47C1"/>
    <w:rsid w:val="008A4BD9"/>
    <w:rsid w:val="008A4F93"/>
    <w:rsid w:val="008A53AA"/>
    <w:rsid w:val="008A5BCE"/>
    <w:rsid w:val="008A6028"/>
    <w:rsid w:val="008A6801"/>
    <w:rsid w:val="008A682F"/>
    <w:rsid w:val="008B143B"/>
    <w:rsid w:val="008B19BE"/>
    <w:rsid w:val="008B1D70"/>
    <w:rsid w:val="008B213E"/>
    <w:rsid w:val="008B21D6"/>
    <w:rsid w:val="008B2AAC"/>
    <w:rsid w:val="008B2C98"/>
    <w:rsid w:val="008B38DC"/>
    <w:rsid w:val="008B39DA"/>
    <w:rsid w:val="008B43DE"/>
    <w:rsid w:val="008B44F5"/>
    <w:rsid w:val="008B4CF8"/>
    <w:rsid w:val="008B4E95"/>
    <w:rsid w:val="008B69BB"/>
    <w:rsid w:val="008B7ACB"/>
    <w:rsid w:val="008C0201"/>
    <w:rsid w:val="008C100D"/>
    <w:rsid w:val="008C21AA"/>
    <w:rsid w:val="008C39D8"/>
    <w:rsid w:val="008C47A1"/>
    <w:rsid w:val="008C488F"/>
    <w:rsid w:val="008C6BC5"/>
    <w:rsid w:val="008C738F"/>
    <w:rsid w:val="008C7591"/>
    <w:rsid w:val="008C7720"/>
    <w:rsid w:val="008C7837"/>
    <w:rsid w:val="008D08C4"/>
    <w:rsid w:val="008D106D"/>
    <w:rsid w:val="008D18DF"/>
    <w:rsid w:val="008D1BE1"/>
    <w:rsid w:val="008D224E"/>
    <w:rsid w:val="008D2BBF"/>
    <w:rsid w:val="008D30BB"/>
    <w:rsid w:val="008D3785"/>
    <w:rsid w:val="008D46B4"/>
    <w:rsid w:val="008D49C9"/>
    <w:rsid w:val="008D5051"/>
    <w:rsid w:val="008D5240"/>
    <w:rsid w:val="008D5331"/>
    <w:rsid w:val="008D5516"/>
    <w:rsid w:val="008D6659"/>
    <w:rsid w:val="008D6B9E"/>
    <w:rsid w:val="008D6EB6"/>
    <w:rsid w:val="008D7C89"/>
    <w:rsid w:val="008E1024"/>
    <w:rsid w:val="008E267A"/>
    <w:rsid w:val="008E3506"/>
    <w:rsid w:val="008E39BB"/>
    <w:rsid w:val="008E3D19"/>
    <w:rsid w:val="008E4850"/>
    <w:rsid w:val="008F00C2"/>
    <w:rsid w:val="008F13B8"/>
    <w:rsid w:val="008F14F0"/>
    <w:rsid w:val="008F1A38"/>
    <w:rsid w:val="008F1DEC"/>
    <w:rsid w:val="008F20DA"/>
    <w:rsid w:val="008F37E0"/>
    <w:rsid w:val="008F3806"/>
    <w:rsid w:val="008F3A7F"/>
    <w:rsid w:val="008F42C2"/>
    <w:rsid w:val="008F467D"/>
    <w:rsid w:val="008F4BB6"/>
    <w:rsid w:val="008F58C8"/>
    <w:rsid w:val="008F69EF"/>
    <w:rsid w:val="00900B56"/>
    <w:rsid w:val="00901B01"/>
    <w:rsid w:val="00903226"/>
    <w:rsid w:val="00903D5F"/>
    <w:rsid w:val="009043D3"/>
    <w:rsid w:val="00904D76"/>
    <w:rsid w:val="00904F05"/>
    <w:rsid w:val="0090610E"/>
    <w:rsid w:val="009073EB"/>
    <w:rsid w:val="00910CE1"/>
    <w:rsid w:val="00912EB9"/>
    <w:rsid w:val="00913DBE"/>
    <w:rsid w:val="00913ED0"/>
    <w:rsid w:val="0091416E"/>
    <w:rsid w:val="00915010"/>
    <w:rsid w:val="00915829"/>
    <w:rsid w:val="00915AC9"/>
    <w:rsid w:val="00915B01"/>
    <w:rsid w:val="00916F4B"/>
    <w:rsid w:val="00920947"/>
    <w:rsid w:val="00920A1F"/>
    <w:rsid w:val="00921794"/>
    <w:rsid w:val="00921BCF"/>
    <w:rsid w:val="00922864"/>
    <w:rsid w:val="009245DA"/>
    <w:rsid w:val="00924885"/>
    <w:rsid w:val="00925CA7"/>
    <w:rsid w:val="00926CB1"/>
    <w:rsid w:val="00927114"/>
    <w:rsid w:val="009274BD"/>
    <w:rsid w:val="00927650"/>
    <w:rsid w:val="00930655"/>
    <w:rsid w:val="009311FC"/>
    <w:rsid w:val="0093133E"/>
    <w:rsid w:val="00931FB4"/>
    <w:rsid w:val="009322A5"/>
    <w:rsid w:val="009331E3"/>
    <w:rsid w:val="009335CC"/>
    <w:rsid w:val="009348D1"/>
    <w:rsid w:val="00935415"/>
    <w:rsid w:val="0093778E"/>
    <w:rsid w:val="00937A04"/>
    <w:rsid w:val="0094026A"/>
    <w:rsid w:val="009414F8"/>
    <w:rsid w:val="00941EF7"/>
    <w:rsid w:val="00942648"/>
    <w:rsid w:val="00942CB6"/>
    <w:rsid w:val="00942CE9"/>
    <w:rsid w:val="00943449"/>
    <w:rsid w:val="00943E57"/>
    <w:rsid w:val="009461FD"/>
    <w:rsid w:val="009475AA"/>
    <w:rsid w:val="00947A6D"/>
    <w:rsid w:val="00950EC5"/>
    <w:rsid w:val="009511FA"/>
    <w:rsid w:val="0095255A"/>
    <w:rsid w:val="0095284F"/>
    <w:rsid w:val="00954C10"/>
    <w:rsid w:val="00954FF2"/>
    <w:rsid w:val="00955FFC"/>
    <w:rsid w:val="009561AF"/>
    <w:rsid w:val="009565EA"/>
    <w:rsid w:val="009610E1"/>
    <w:rsid w:val="009615D2"/>
    <w:rsid w:val="00961C36"/>
    <w:rsid w:val="009626D2"/>
    <w:rsid w:val="00962E0C"/>
    <w:rsid w:val="00962E97"/>
    <w:rsid w:val="00962EE8"/>
    <w:rsid w:val="00963926"/>
    <w:rsid w:val="0096495E"/>
    <w:rsid w:val="0096502B"/>
    <w:rsid w:val="009661C1"/>
    <w:rsid w:val="00971309"/>
    <w:rsid w:val="00971F82"/>
    <w:rsid w:val="0097297A"/>
    <w:rsid w:val="00972E22"/>
    <w:rsid w:val="00972F88"/>
    <w:rsid w:val="009738BD"/>
    <w:rsid w:val="009746D3"/>
    <w:rsid w:val="0097515F"/>
    <w:rsid w:val="00975AC1"/>
    <w:rsid w:val="00976EE9"/>
    <w:rsid w:val="00980B55"/>
    <w:rsid w:val="00981246"/>
    <w:rsid w:val="0098191D"/>
    <w:rsid w:val="009819E9"/>
    <w:rsid w:val="00982F8F"/>
    <w:rsid w:val="00983830"/>
    <w:rsid w:val="00983915"/>
    <w:rsid w:val="00983E52"/>
    <w:rsid w:val="00984376"/>
    <w:rsid w:val="009850FA"/>
    <w:rsid w:val="0098514B"/>
    <w:rsid w:val="009859B7"/>
    <w:rsid w:val="009860D6"/>
    <w:rsid w:val="009872B4"/>
    <w:rsid w:val="00987367"/>
    <w:rsid w:val="009901FF"/>
    <w:rsid w:val="009919AE"/>
    <w:rsid w:val="00992EC1"/>
    <w:rsid w:val="00994634"/>
    <w:rsid w:val="009960A2"/>
    <w:rsid w:val="00996CE2"/>
    <w:rsid w:val="00996D24"/>
    <w:rsid w:val="00996E13"/>
    <w:rsid w:val="009975D2"/>
    <w:rsid w:val="00997F90"/>
    <w:rsid w:val="009A033F"/>
    <w:rsid w:val="009A06B1"/>
    <w:rsid w:val="009A0726"/>
    <w:rsid w:val="009A07FD"/>
    <w:rsid w:val="009A0B23"/>
    <w:rsid w:val="009A0B5F"/>
    <w:rsid w:val="009A1296"/>
    <w:rsid w:val="009A1470"/>
    <w:rsid w:val="009A150A"/>
    <w:rsid w:val="009A2511"/>
    <w:rsid w:val="009A3BDF"/>
    <w:rsid w:val="009A4CFB"/>
    <w:rsid w:val="009A5644"/>
    <w:rsid w:val="009A63CD"/>
    <w:rsid w:val="009A6D9C"/>
    <w:rsid w:val="009A71E1"/>
    <w:rsid w:val="009A75A8"/>
    <w:rsid w:val="009A7A1B"/>
    <w:rsid w:val="009A7B07"/>
    <w:rsid w:val="009A7E60"/>
    <w:rsid w:val="009B0DAA"/>
    <w:rsid w:val="009B16BD"/>
    <w:rsid w:val="009B26F1"/>
    <w:rsid w:val="009B3B8B"/>
    <w:rsid w:val="009B3DB9"/>
    <w:rsid w:val="009B3ED3"/>
    <w:rsid w:val="009B3F3B"/>
    <w:rsid w:val="009B441E"/>
    <w:rsid w:val="009B4DBF"/>
    <w:rsid w:val="009B50F2"/>
    <w:rsid w:val="009B6266"/>
    <w:rsid w:val="009B632C"/>
    <w:rsid w:val="009B6627"/>
    <w:rsid w:val="009B7580"/>
    <w:rsid w:val="009B7912"/>
    <w:rsid w:val="009C0958"/>
    <w:rsid w:val="009C1D0A"/>
    <w:rsid w:val="009C5C18"/>
    <w:rsid w:val="009C60F6"/>
    <w:rsid w:val="009C6227"/>
    <w:rsid w:val="009C6815"/>
    <w:rsid w:val="009C69AF"/>
    <w:rsid w:val="009C7870"/>
    <w:rsid w:val="009D0380"/>
    <w:rsid w:val="009D1EAE"/>
    <w:rsid w:val="009D20E0"/>
    <w:rsid w:val="009D295B"/>
    <w:rsid w:val="009D296A"/>
    <w:rsid w:val="009D4841"/>
    <w:rsid w:val="009D4FFD"/>
    <w:rsid w:val="009D52FF"/>
    <w:rsid w:val="009D58E0"/>
    <w:rsid w:val="009D60D3"/>
    <w:rsid w:val="009D6382"/>
    <w:rsid w:val="009D688A"/>
    <w:rsid w:val="009D6BCF"/>
    <w:rsid w:val="009D6F4A"/>
    <w:rsid w:val="009D787B"/>
    <w:rsid w:val="009E045A"/>
    <w:rsid w:val="009E3EFE"/>
    <w:rsid w:val="009E4AD3"/>
    <w:rsid w:val="009E51CC"/>
    <w:rsid w:val="009E6866"/>
    <w:rsid w:val="009E7A0E"/>
    <w:rsid w:val="009F0889"/>
    <w:rsid w:val="009F0D56"/>
    <w:rsid w:val="009F1547"/>
    <w:rsid w:val="009F1634"/>
    <w:rsid w:val="009F258D"/>
    <w:rsid w:val="009F3453"/>
    <w:rsid w:val="009F3A87"/>
    <w:rsid w:val="009F3D6E"/>
    <w:rsid w:val="009F415E"/>
    <w:rsid w:val="009F4C4B"/>
    <w:rsid w:val="009F538C"/>
    <w:rsid w:val="009F5F91"/>
    <w:rsid w:val="009F6284"/>
    <w:rsid w:val="009F6A0F"/>
    <w:rsid w:val="009F6A9D"/>
    <w:rsid w:val="00A008E6"/>
    <w:rsid w:val="00A02678"/>
    <w:rsid w:val="00A02AF6"/>
    <w:rsid w:val="00A0345D"/>
    <w:rsid w:val="00A03463"/>
    <w:rsid w:val="00A03A04"/>
    <w:rsid w:val="00A03C7F"/>
    <w:rsid w:val="00A045C7"/>
    <w:rsid w:val="00A05039"/>
    <w:rsid w:val="00A05383"/>
    <w:rsid w:val="00A07DB9"/>
    <w:rsid w:val="00A103EF"/>
    <w:rsid w:val="00A114A5"/>
    <w:rsid w:val="00A12087"/>
    <w:rsid w:val="00A12888"/>
    <w:rsid w:val="00A12C83"/>
    <w:rsid w:val="00A1355D"/>
    <w:rsid w:val="00A13789"/>
    <w:rsid w:val="00A15245"/>
    <w:rsid w:val="00A2045A"/>
    <w:rsid w:val="00A20D9F"/>
    <w:rsid w:val="00A211E1"/>
    <w:rsid w:val="00A214BB"/>
    <w:rsid w:val="00A219DE"/>
    <w:rsid w:val="00A223E1"/>
    <w:rsid w:val="00A2270B"/>
    <w:rsid w:val="00A2334C"/>
    <w:rsid w:val="00A2485E"/>
    <w:rsid w:val="00A257E8"/>
    <w:rsid w:val="00A2698B"/>
    <w:rsid w:val="00A271F7"/>
    <w:rsid w:val="00A27454"/>
    <w:rsid w:val="00A300CF"/>
    <w:rsid w:val="00A300F4"/>
    <w:rsid w:val="00A303D2"/>
    <w:rsid w:val="00A3138C"/>
    <w:rsid w:val="00A31454"/>
    <w:rsid w:val="00A32192"/>
    <w:rsid w:val="00A36231"/>
    <w:rsid w:val="00A36DF3"/>
    <w:rsid w:val="00A4122C"/>
    <w:rsid w:val="00A41718"/>
    <w:rsid w:val="00A43524"/>
    <w:rsid w:val="00A439CD"/>
    <w:rsid w:val="00A43BDB"/>
    <w:rsid w:val="00A43D27"/>
    <w:rsid w:val="00A44C51"/>
    <w:rsid w:val="00A44FAB"/>
    <w:rsid w:val="00A456DA"/>
    <w:rsid w:val="00A4690F"/>
    <w:rsid w:val="00A46FEA"/>
    <w:rsid w:val="00A472E2"/>
    <w:rsid w:val="00A47927"/>
    <w:rsid w:val="00A50056"/>
    <w:rsid w:val="00A500E3"/>
    <w:rsid w:val="00A50EDF"/>
    <w:rsid w:val="00A50F4B"/>
    <w:rsid w:val="00A5151C"/>
    <w:rsid w:val="00A51A13"/>
    <w:rsid w:val="00A51A72"/>
    <w:rsid w:val="00A52168"/>
    <w:rsid w:val="00A5254B"/>
    <w:rsid w:val="00A540A3"/>
    <w:rsid w:val="00A540B4"/>
    <w:rsid w:val="00A54417"/>
    <w:rsid w:val="00A545F1"/>
    <w:rsid w:val="00A55ADC"/>
    <w:rsid w:val="00A56052"/>
    <w:rsid w:val="00A56136"/>
    <w:rsid w:val="00A563AF"/>
    <w:rsid w:val="00A56D7A"/>
    <w:rsid w:val="00A57142"/>
    <w:rsid w:val="00A612AA"/>
    <w:rsid w:val="00A6130E"/>
    <w:rsid w:val="00A61628"/>
    <w:rsid w:val="00A619B7"/>
    <w:rsid w:val="00A62E67"/>
    <w:rsid w:val="00A62EF3"/>
    <w:rsid w:val="00A63684"/>
    <w:rsid w:val="00A63A2E"/>
    <w:rsid w:val="00A65A57"/>
    <w:rsid w:val="00A664DA"/>
    <w:rsid w:val="00A66C5F"/>
    <w:rsid w:val="00A71181"/>
    <w:rsid w:val="00A71A33"/>
    <w:rsid w:val="00A71DFC"/>
    <w:rsid w:val="00A72127"/>
    <w:rsid w:val="00A72AD4"/>
    <w:rsid w:val="00A732BD"/>
    <w:rsid w:val="00A73BDC"/>
    <w:rsid w:val="00A749E3"/>
    <w:rsid w:val="00A74D46"/>
    <w:rsid w:val="00A76505"/>
    <w:rsid w:val="00A77529"/>
    <w:rsid w:val="00A77A8F"/>
    <w:rsid w:val="00A80DB8"/>
    <w:rsid w:val="00A81CD8"/>
    <w:rsid w:val="00A8211B"/>
    <w:rsid w:val="00A8219D"/>
    <w:rsid w:val="00A838F3"/>
    <w:rsid w:val="00A83E0B"/>
    <w:rsid w:val="00A84958"/>
    <w:rsid w:val="00A849A8"/>
    <w:rsid w:val="00A854B4"/>
    <w:rsid w:val="00A85FE8"/>
    <w:rsid w:val="00A86780"/>
    <w:rsid w:val="00A86E7D"/>
    <w:rsid w:val="00A918A7"/>
    <w:rsid w:val="00A9227B"/>
    <w:rsid w:val="00A9266A"/>
    <w:rsid w:val="00A92B18"/>
    <w:rsid w:val="00A92F05"/>
    <w:rsid w:val="00A93458"/>
    <w:rsid w:val="00A938CA"/>
    <w:rsid w:val="00A9612B"/>
    <w:rsid w:val="00A96EB2"/>
    <w:rsid w:val="00A97EFE"/>
    <w:rsid w:val="00AA1242"/>
    <w:rsid w:val="00AA2978"/>
    <w:rsid w:val="00AA2DB1"/>
    <w:rsid w:val="00AA39C3"/>
    <w:rsid w:val="00AA4ECD"/>
    <w:rsid w:val="00AA5C24"/>
    <w:rsid w:val="00AA6348"/>
    <w:rsid w:val="00AA705F"/>
    <w:rsid w:val="00AA70BA"/>
    <w:rsid w:val="00AA7833"/>
    <w:rsid w:val="00AA7CF1"/>
    <w:rsid w:val="00AA7F61"/>
    <w:rsid w:val="00AB0D8B"/>
    <w:rsid w:val="00AB191B"/>
    <w:rsid w:val="00AB1F3D"/>
    <w:rsid w:val="00AB5255"/>
    <w:rsid w:val="00AB546E"/>
    <w:rsid w:val="00AB6953"/>
    <w:rsid w:val="00AC0BEF"/>
    <w:rsid w:val="00AC13CE"/>
    <w:rsid w:val="00AC1552"/>
    <w:rsid w:val="00AC2CDC"/>
    <w:rsid w:val="00AC38F0"/>
    <w:rsid w:val="00AC3E8C"/>
    <w:rsid w:val="00AC40C9"/>
    <w:rsid w:val="00AC4984"/>
    <w:rsid w:val="00AC6330"/>
    <w:rsid w:val="00AC7680"/>
    <w:rsid w:val="00AC7B32"/>
    <w:rsid w:val="00AD2652"/>
    <w:rsid w:val="00AD27A4"/>
    <w:rsid w:val="00AD2908"/>
    <w:rsid w:val="00AD3165"/>
    <w:rsid w:val="00AD4E7C"/>
    <w:rsid w:val="00AD58DB"/>
    <w:rsid w:val="00AD6D3A"/>
    <w:rsid w:val="00AD6DD9"/>
    <w:rsid w:val="00AD7805"/>
    <w:rsid w:val="00AE18BE"/>
    <w:rsid w:val="00AE1EF7"/>
    <w:rsid w:val="00AE22F3"/>
    <w:rsid w:val="00AE2D7E"/>
    <w:rsid w:val="00AE36EF"/>
    <w:rsid w:val="00AE3F2E"/>
    <w:rsid w:val="00AE5C00"/>
    <w:rsid w:val="00AE6175"/>
    <w:rsid w:val="00AE7787"/>
    <w:rsid w:val="00AE7ADF"/>
    <w:rsid w:val="00AF0DB3"/>
    <w:rsid w:val="00AF106F"/>
    <w:rsid w:val="00AF27FA"/>
    <w:rsid w:val="00AF29FC"/>
    <w:rsid w:val="00AF2FB0"/>
    <w:rsid w:val="00AF35A6"/>
    <w:rsid w:val="00AF3818"/>
    <w:rsid w:val="00AF3B7B"/>
    <w:rsid w:val="00AF47BB"/>
    <w:rsid w:val="00AF555D"/>
    <w:rsid w:val="00AF5A95"/>
    <w:rsid w:val="00AF7C42"/>
    <w:rsid w:val="00B00400"/>
    <w:rsid w:val="00B00944"/>
    <w:rsid w:val="00B00EB2"/>
    <w:rsid w:val="00B01525"/>
    <w:rsid w:val="00B03E3D"/>
    <w:rsid w:val="00B04FA9"/>
    <w:rsid w:val="00B05B57"/>
    <w:rsid w:val="00B05E13"/>
    <w:rsid w:val="00B0751B"/>
    <w:rsid w:val="00B0755D"/>
    <w:rsid w:val="00B07686"/>
    <w:rsid w:val="00B11254"/>
    <w:rsid w:val="00B13556"/>
    <w:rsid w:val="00B1375B"/>
    <w:rsid w:val="00B140FD"/>
    <w:rsid w:val="00B1480F"/>
    <w:rsid w:val="00B14AEB"/>
    <w:rsid w:val="00B15D32"/>
    <w:rsid w:val="00B15F89"/>
    <w:rsid w:val="00B170F1"/>
    <w:rsid w:val="00B20094"/>
    <w:rsid w:val="00B2059E"/>
    <w:rsid w:val="00B21387"/>
    <w:rsid w:val="00B24ECC"/>
    <w:rsid w:val="00B25E22"/>
    <w:rsid w:val="00B271D6"/>
    <w:rsid w:val="00B30906"/>
    <w:rsid w:val="00B319F4"/>
    <w:rsid w:val="00B3256E"/>
    <w:rsid w:val="00B329B6"/>
    <w:rsid w:val="00B33072"/>
    <w:rsid w:val="00B3390A"/>
    <w:rsid w:val="00B33EB8"/>
    <w:rsid w:val="00B36006"/>
    <w:rsid w:val="00B36047"/>
    <w:rsid w:val="00B36670"/>
    <w:rsid w:val="00B368A9"/>
    <w:rsid w:val="00B3743C"/>
    <w:rsid w:val="00B40037"/>
    <w:rsid w:val="00B40259"/>
    <w:rsid w:val="00B41107"/>
    <w:rsid w:val="00B41126"/>
    <w:rsid w:val="00B41AB2"/>
    <w:rsid w:val="00B41D57"/>
    <w:rsid w:val="00B427B8"/>
    <w:rsid w:val="00B429E4"/>
    <w:rsid w:val="00B4327A"/>
    <w:rsid w:val="00B45441"/>
    <w:rsid w:val="00B5067C"/>
    <w:rsid w:val="00B50BE7"/>
    <w:rsid w:val="00B50E1D"/>
    <w:rsid w:val="00B52142"/>
    <w:rsid w:val="00B52287"/>
    <w:rsid w:val="00B528A3"/>
    <w:rsid w:val="00B532EF"/>
    <w:rsid w:val="00B535AB"/>
    <w:rsid w:val="00B542CD"/>
    <w:rsid w:val="00B54B79"/>
    <w:rsid w:val="00B56564"/>
    <w:rsid w:val="00B5671C"/>
    <w:rsid w:val="00B56736"/>
    <w:rsid w:val="00B567F7"/>
    <w:rsid w:val="00B56DE8"/>
    <w:rsid w:val="00B571E7"/>
    <w:rsid w:val="00B57814"/>
    <w:rsid w:val="00B60DA7"/>
    <w:rsid w:val="00B64B7D"/>
    <w:rsid w:val="00B64F13"/>
    <w:rsid w:val="00B6596F"/>
    <w:rsid w:val="00B65F31"/>
    <w:rsid w:val="00B6663F"/>
    <w:rsid w:val="00B66FE7"/>
    <w:rsid w:val="00B67CD4"/>
    <w:rsid w:val="00B67D8F"/>
    <w:rsid w:val="00B67E87"/>
    <w:rsid w:val="00B711B2"/>
    <w:rsid w:val="00B71F43"/>
    <w:rsid w:val="00B72712"/>
    <w:rsid w:val="00B768FB"/>
    <w:rsid w:val="00B76AB7"/>
    <w:rsid w:val="00B76FF0"/>
    <w:rsid w:val="00B76FF7"/>
    <w:rsid w:val="00B80487"/>
    <w:rsid w:val="00B8068C"/>
    <w:rsid w:val="00B808F4"/>
    <w:rsid w:val="00B80F2E"/>
    <w:rsid w:val="00B82E34"/>
    <w:rsid w:val="00B82ED0"/>
    <w:rsid w:val="00B84031"/>
    <w:rsid w:val="00B845EA"/>
    <w:rsid w:val="00B86B1A"/>
    <w:rsid w:val="00B870EF"/>
    <w:rsid w:val="00B87180"/>
    <w:rsid w:val="00B876F4"/>
    <w:rsid w:val="00B92543"/>
    <w:rsid w:val="00B92B8A"/>
    <w:rsid w:val="00B92DF0"/>
    <w:rsid w:val="00B9310D"/>
    <w:rsid w:val="00B94CF4"/>
    <w:rsid w:val="00B95858"/>
    <w:rsid w:val="00B95BF1"/>
    <w:rsid w:val="00B9637A"/>
    <w:rsid w:val="00B97516"/>
    <w:rsid w:val="00B975E0"/>
    <w:rsid w:val="00BA0276"/>
    <w:rsid w:val="00BA05DC"/>
    <w:rsid w:val="00BA13B6"/>
    <w:rsid w:val="00BA13D4"/>
    <w:rsid w:val="00BA15A0"/>
    <w:rsid w:val="00BA1C1C"/>
    <w:rsid w:val="00BA227A"/>
    <w:rsid w:val="00BA22A1"/>
    <w:rsid w:val="00BA4745"/>
    <w:rsid w:val="00BA5060"/>
    <w:rsid w:val="00BA56A3"/>
    <w:rsid w:val="00BB0C37"/>
    <w:rsid w:val="00BB1526"/>
    <w:rsid w:val="00BB15B0"/>
    <w:rsid w:val="00BB1A6E"/>
    <w:rsid w:val="00BB1BE8"/>
    <w:rsid w:val="00BB1D73"/>
    <w:rsid w:val="00BB2433"/>
    <w:rsid w:val="00BB39A5"/>
    <w:rsid w:val="00BB3CE3"/>
    <w:rsid w:val="00BB3E2E"/>
    <w:rsid w:val="00BB435B"/>
    <w:rsid w:val="00BB461A"/>
    <w:rsid w:val="00BB4A6F"/>
    <w:rsid w:val="00BB68A4"/>
    <w:rsid w:val="00BB74C4"/>
    <w:rsid w:val="00BB7B95"/>
    <w:rsid w:val="00BC0D7A"/>
    <w:rsid w:val="00BC41FA"/>
    <w:rsid w:val="00BC4458"/>
    <w:rsid w:val="00BC4747"/>
    <w:rsid w:val="00BC5E95"/>
    <w:rsid w:val="00BC6E27"/>
    <w:rsid w:val="00BC7A79"/>
    <w:rsid w:val="00BC7DBE"/>
    <w:rsid w:val="00BD072A"/>
    <w:rsid w:val="00BD171D"/>
    <w:rsid w:val="00BD20DF"/>
    <w:rsid w:val="00BD327A"/>
    <w:rsid w:val="00BD5009"/>
    <w:rsid w:val="00BD50BC"/>
    <w:rsid w:val="00BD57F5"/>
    <w:rsid w:val="00BD5B13"/>
    <w:rsid w:val="00BD5DAB"/>
    <w:rsid w:val="00BD63E5"/>
    <w:rsid w:val="00BD67C4"/>
    <w:rsid w:val="00BD6AD7"/>
    <w:rsid w:val="00BD6F20"/>
    <w:rsid w:val="00BD75B4"/>
    <w:rsid w:val="00BE0D94"/>
    <w:rsid w:val="00BE11ED"/>
    <w:rsid w:val="00BE16A9"/>
    <w:rsid w:val="00BE18D4"/>
    <w:rsid w:val="00BE2167"/>
    <w:rsid w:val="00BE239A"/>
    <w:rsid w:val="00BE3F16"/>
    <w:rsid w:val="00BE48A4"/>
    <w:rsid w:val="00BE56F0"/>
    <w:rsid w:val="00BE5757"/>
    <w:rsid w:val="00BE7774"/>
    <w:rsid w:val="00BF1455"/>
    <w:rsid w:val="00BF1985"/>
    <w:rsid w:val="00BF238E"/>
    <w:rsid w:val="00BF2A1B"/>
    <w:rsid w:val="00BF2D67"/>
    <w:rsid w:val="00BF4728"/>
    <w:rsid w:val="00BF4AD6"/>
    <w:rsid w:val="00BF68D5"/>
    <w:rsid w:val="00BF78B5"/>
    <w:rsid w:val="00BF78E5"/>
    <w:rsid w:val="00BF7FD4"/>
    <w:rsid w:val="00C000C1"/>
    <w:rsid w:val="00C0218B"/>
    <w:rsid w:val="00C022E5"/>
    <w:rsid w:val="00C04200"/>
    <w:rsid w:val="00C074F5"/>
    <w:rsid w:val="00C07855"/>
    <w:rsid w:val="00C07E68"/>
    <w:rsid w:val="00C11056"/>
    <w:rsid w:val="00C11116"/>
    <w:rsid w:val="00C118DA"/>
    <w:rsid w:val="00C119D9"/>
    <w:rsid w:val="00C11A68"/>
    <w:rsid w:val="00C11B65"/>
    <w:rsid w:val="00C12654"/>
    <w:rsid w:val="00C12D35"/>
    <w:rsid w:val="00C1342C"/>
    <w:rsid w:val="00C154F6"/>
    <w:rsid w:val="00C15503"/>
    <w:rsid w:val="00C16708"/>
    <w:rsid w:val="00C174F2"/>
    <w:rsid w:val="00C176D4"/>
    <w:rsid w:val="00C17A6B"/>
    <w:rsid w:val="00C2022B"/>
    <w:rsid w:val="00C27A23"/>
    <w:rsid w:val="00C27A3F"/>
    <w:rsid w:val="00C27A7D"/>
    <w:rsid w:val="00C32681"/>
    <w:rsid w:val="00C346E7"/>
    <w:rsid w:val="00C35146"/>
    <w:rsid w:val="00C3614B"/>
    <w:rsid w:val="00C36EDA"/>
    <w:rsid w:val="00C372B3"/>
    <w:rsid w:val="00C40D88"/>
    <w:rsid w:val="00C42C37"/>
    <w:rsid w:val="00C454C5"/>
    <w:rsid w:val="00C4599C"/>
    <w:rsid w:val="00C45D16"/>
    <w:rsid w:val="00C45DD8"/>
    <w:rsid w:val="00C45F65"/>
    <w:rsid w:val="00C465B1"/>
    <w:rsid w:val="00C46608"/>
    <w:rsid w:val="00C468B7"/>
    <w:rsid w:val="00C47620"/>
    <w:rsid w:val="00C47B6B"/>
    <w:rsid w:val="00C501A3"/>
    <w:rsid w:val="00C519DD"/>
    <w:rsid w:val="00C51CEC"/>
    <w:rsid w:val="00C52CEA"/>
    <w:rsid w:val="00C53CA3"/>
    <w:rsid w:val="00C546D7"/>
    <w:rsid w:val="00C549F3"/>
    <w:rsid w:val="00C555D5"/>
    <w:rsid w:val="00C57905"/>
    <w:rsid w:val="00C57D85"/>
    <w:rsid w:val="00C601E6"/>
    <w:rsid w:val="00C6039C"/>
    <w:rsid w:val="00C60ADA"/>
    <w:rsid w:val="00C6139B"/>
    <w:rsid w:val="00C630F4"/>
    <w:rsid w:val="00C64AAE"/>
    <w:rsid w:val="00C67D2A"/>
    <w:rsid w:val="00C70947"/>
    <w:rsid w:val="00C70F8B"/>
    <w:rsid w:val="00C73EA9"/>
    <w:rsid w:val="00C744D2"/>
    <w:rsid w:val="00C747B9"/>
    <w:rsid w:val="00C74A9A"/>
    <w:rsid w:val="00C75326"/>
    <w:rsid w:val="00C77BF4"/>
    <w:rsid w:val="00C814F5"/>
    <w:rsid w:val="00C81569"/>
    <w:rsid w:val="00C8298E"/>
    <w:rsid w:val="00C83667"/>
    <w:rsid w:val="00C85711"/>
    <w:rsid w:val="00C85884"/>
    <w:rsid w:val="00C859D7"/>
    <w:rsid w:val="00C86066"/>
    <w:rsid w:val="00C86997"/>
    <w:rsid w:val="00C86D91"/>
    <w:rsid w:val="00C87543"/>
    <w:rsid w:val="00C87735"/>
    <w:rsid w:val="00C901A9"/>
    <w:rsid w:val="00C903BC"/>
    <w:rsid w:val="00C91CF7"/>
    <w:rsid w:val="00C92645"/>
    <w:rsid w:val="00C9280C"/>
    <w:rsid w:val="00C933F0"/>
    <w:rsid w:val="00C93BBE"/>
    <w:rsid w:val="00C9423E"/>
    <w:rsid w:val="00C94A9B"/>
    <w:rsid w:val="00C94D67"/>
    <w:rsid w:val="00C94D8C"/>
    <w:rsid w:val="00C95DFE"/>
    <w:rsid w:val="00C9743E"/>
    <w:rsid w:val="00C97F66"/>
    <w:rsid w:val="00CA02E2"/>
    <w:rsid w:val="00CA0A63"/>
    <w:rsid w:val="00CA2000"/>
    <w:rsid w:val="00CA2930"/>
    <w:rsid w:val="00CA2966"/>
    <w:rsid w:val="00CA31C7"/>
    <w:rsid w:val="00CA3C5A"/>
    <w:rsid w:val="00CA4C49"/>
    <w:rsid w:val="00CA5B10"/>
    <w:rsid w:val="00CA5C33"/>
    <w:rsid w:val="00CB09F5"/>
    <w:rsid w:val="00CB0CAF"/>
    <w:rsid w:val="00CB148D"/>
    <w:rsid w:val="00CB191D"/>
    <w:rsid w:val="00CB1BCB"/>
    <w:rsid w:val="00CB2B00"/>
    <w:rsid w:val="00CB2DD2"/>
    <w:rsid w:val="00CB58EC"/>
    <w:rsid w:val="00CB6381"/>
    <w:rsid w:val="00CB738D"/>
    <w:rsid w:val="00CB74DA"/>
    <w:rsid w:val="00CB7918"/>
    <w:rsid w:val="00CC040E"/>
    <w:rsid w:val="00CC116C"/>
    <w:rsid w:val="00CC3E15"/>
    <w:rsid w:val="00CC54E3"/>
    <w:rsid w:val="00CC5B1D"/>
    <w:rsid w:val="00CC6110"/>
    <w:rsid w:val="00CC677A"/>
    <w:rsid w:val="00CD02F7"/>
    <w:rsid w:val="00CD0B90"/>
    <w:rsid w:val="00CD1941"/>
    <w:rsid w:val="00CD231D"/>
    <w:rsid w:val="00CD325A"/>
    <w:rsid w:val="00CD42AF"/>
    <w:rsid w:val="00CD4724"/>
    <w:rsid w:val="00CD5131"/>
    <w:rsid w:val="00CD6F91"/>
    <w:rsid w:val="00CE02F9"/>
    <w:rsid w:val="00CE04A1"/>
    <w:rsid w:val="00CE0EDD"/>
    <w:rsid w:val="00CE13C9"/>
    <w:rsid w:val="00CE1FF5"/>
    <w:rsid w:val="00CE2545"/>
    <w:rsid w:val="00CE340F"/>
    <w:rsid w:val="00CE399E"/>
    <w:rsid w:val="00CE3E58"/>
    <w:rsid w:val="00CE4F2C"/>
    <w:rsid w:val="00CE6244"/>
    <w:rsid w:val="00CE67C5"/>
    <w:rsid w:val="00CE6D95"/>
    <w:rsid w:val="00CE74A0"/>
    <w:rsid w:val="00CE765E"/>
    <w:rsid w:val="00CF080D"/>
    <w:rsid w:val="00CF1D8F"/>
    <w:rsid w:val="00CF4643"/>
    <w:rsid w:val="00CF49FA"/>
    <w:rsid w:val="00CF55EB"/>
    <w:rsid w:val="00CF5856"/>
    <w:rsid w:val="00CF62C1"/>
    <w:rsid w:val="00CF639A"/>
    <w:rsid w:val="00CF6DB6"/>
    <w:rsid w:val="00CF7311"/>
    <w:rsid w:val="00CF7766"/>
    <w:rsid w:val="00D001E2"/>
    <w:rsid w:val="00D006C1"/>
    <w:rsid w:val="00D007EA"/>
    <w:rsid w:val="00D018F4"/>
    <w:rsid w:val="00D02C4F"/>
    <w:rsid w:val="00D02F4D"/>
    <w:rsid w:val="00D03799"/>
    <w:rsid w:val="00D03F68"/>
    <w:rsid w:val="00D04B9B"/>
    <w:rsid w:val="00D04E61"/>
    <w:rsid w:val="00D04F3B"/>
    <w:rsid w:val="00D05B45"/>
    <w:rsid w:val="00D05D80"/>
    <w:rsid w:val="00D061A6"/>
    <w:rsid w:val="00D06AAD"/>
    <w:rsid w:val="00D07950"/>
    <w:rsid w:val="00D10635"/>
    <w:rsid w:val="00D120B5"/>
    <w:rsid w:val="00D12B46"/>
    <w:rsid w:val="00D12F7D"/>
    <w:rsid w:val="00D1447F"/>
    <w:rsid w:val="00D14A46"/>
    <w:rsid w:val="00D16849"/>
    <w:rsid w:val="00D16FE3"/>
    <w:rsid w:val="00D20B8E"/>
    <w:rsid w:val="00D21168"/>
    <w:rsid w:val="00D2119B"/>
    <w:rsid w:val="00D225F8"/>
    <w:rsid w:val="00D22C25"/>
    <w:rsid w:val="00D2343B"/>
    <w:rsid w:val="00D25254"/>
    <w:rsid w:val="00D25923"/>
    <w:rsid w:val="00D26420"/>
    <w:rsid w:val="00D26429"/>
    <w:rsid w:val="00D26777"/>
    <w:rsid w:val="00D27475"/>
    <w:rsid w:val="00D27567"/>
    <w:rsid w:val="00D27886"/>
    <w:rsid w:val="00D279DB"/>
    <w:rsid w:val="00D279DD"/>
    <w:rsid w:val="00D32409"/>
    <w:rsid w:val="00D341D5"/>
    <w:rsid w:val="00D3426E"/>
    <w:rsid w:val="00D3429C"/>
    <w:rsid w:val="00D35F38"/>
    <w:rsid w:val="00D365F0"/>
    <w:rsid w:val="00D36BCE"/>
    <w:rsid w:val="00D37A1F"/>
    <w:rsid w:val="00D40309"/>
    <w:rsid w:val="00D40414"/>
    <w:rsid w:val="00D418A6"/>
    <w:rsid w:val="00D41D9C"/>
    <w:rsid w:val="00D433DA"/>
    <w:rsid w:val="00D436C3"/>
    <w:rsid w:val="00D4415A"/>
    <w:rsid w:val="00D4517B"/>
    <w:rsid w:val="00D45B93"/>
    <w:rsid w:val="00D46C92"/>
    <w:rsid w:val="00D500C1"/>
    <w:rsid w:val="00D509B4"/>
    <w:rsid w:val="00D51A17"/>
    <w:rsid w:val="00D51CD5"/>
    <w:rsid w:val="00D525B8"/>
    <w:rsid w:val="00D53178"/>
    <w:rsid w:val="00D53484"/>
    <w:rsid w:val="00D535F0"/>
    <w:rsid w:val="00D53BD4"/>
    <w:rsid w:val="00D544F6"/>
    <w:rsid w:val="00D55479"/>
    <w:rsid w:val="00D5581D"/>
    <w:rsid w:val="00D56163"/>
    <w:rsid w:val="00D5628B"/>
    <w:rsid w:val="00D56792"/>
    <w:rsid w:val="00D573EC"/>
    <w:rsid w:val="00D57CC7"/>
    <w:rsid w:val="00D60629"/>
    <w:rsid w:val="00D61484"/>
    <w:rsid w:val="00D62568"/>
    <w:rsid w:val="00D629C6"/>
    <w:rsid w:val="00D67460"/>
    <w:rsid w:val="00D679D5"/>
    <w:rsid w:val="00D709D7"/>
    <w:rsid w:val="00D710F2"/>
    <w:rsid w:val="00D71F69"/>
    <w:rsid w:val="00D72353"/>
    <w:rsid w:val="00D7519C"/>
    <w:rsid w:val="00D75CEE"/>
    <w:rsid w:val="00D77457"/>
    <w:rsid w:val="00D778DC"/>
    <w:rsid w:val="00D80754"/>
    <w:rsid w:val="00D80BFE"/>
    <w:rsid w:val="00D80C6B"/>
    <w:rsid w:val="00D81154"/>
    <w:rsid w:val="00D82172"/>
    <w:rsid w:val="00D84F0E"/>
    <w:rsid w:val="00D87DF5"/>
    <w:rsid w:val="00D90184"/>
    <w:rsid w:val="00D9109C"/>
    <w:rsid w:val="00D91294"/>
    <w:rsid w:val="00D91D95"/>
    <w:rsid w:val="00D92520"/>
    <w:rsid w:val="00D92567"/>
    <w:rsid w:val="00D928A0"/>
    <w:rsid w:val="00D9408D"/>
    <w:rsid w:val="00D955DF"/>
    <w:rsid w:val="00D9595F"/>
    <w:rsid w:val="00D9699C"/>
    <w:rsid w:val="00D970DB"/>
    <w:rsid w:val="00D97C51"/>
    <w:rsid w:val="00DA11A8"/>
    <w:rsid w:val="00DA18A2"/>
    <w:rsid w:val="00DA1C6A"/>
    <w:rsid w:val="00DA23D6"/>
    <w:rsid w:val="00DA34A5"/>
    <w:rsid w:val="00DA3BC2"/>
    <w:rsid w:val="00DA4450"/>
    <w:rsid w:val="00DA468D"/>
    <w:rsid w:val="00DA49BD"/>
    <w:rsid w:val="00DA4EEF"/>
    <w:rsid w:val="00DA5222"/>
    <w:rsid w:val="00DA57B8"/>
    <w:rsid w:val="00DA5A82"/>
    <w:rsid w:val="00DA6458"/>
    <w:rsid w:val="00DA6673"/>
    <w:rsid w:val="00DA6851"/>
    <w:rsid w:val="00DA72BE"/>
    <w:rsid w:val="00DA7DA7"/>
    <w:rsid w:val="00DB0449"/>
    <w:rsid w:val="00DB06A3"/>
    <w:rsid w:val="00DB09DA"/>
    <w:rsid w:val="00DB0E82"/>
    <w:rsid w:val="00DB24B0"/>
    <w:rsid w:val="00DB2864"/>
    <w:rsid w:val="00DB324F"/>
    <w:rsid w:val="00DB3CD4"/>
    <w:rsid w:val="00DB64F6"/>
    <w:rsid w:val="00DB7DCC"/>
    <w:rsid w:val="00DC12A8"/>
    <w:rsid w:val="00DC1A15"/>
    <w:rsid w:val="00DC1B05"/>
    <w:rsid w:val="00DC2314"/>
    <w:rsid w:val="00DC2CE9"/>
    <w:rsid w:val="00DC3280"/>
    <w:rsid w:val="00DC44C8"/>
    <w:rsid w:val="00DC54A6"/>
    <w:rsid w:val="00DC56C6"/>
    <w:rsid w:val="00DC5B0B"/>
    <w:rsid w:val="00DC67A2"/>
    <w:rsid w:val="00DC6A2A"/>
    <w:rsid w:val="00DC6D97"/>
    <w:rsid w:val="00DD07C4"/>
    <w:rsid w:val="00DD221E"/>
    <w:rsid w:val="00DD2545"/>
    <w:rsid w:val="00DD2BCC"/>
    <w:rsid w:val="00DD33A3"/>
    <w:rsid w:val="00DD4286"/>
    <w:rsid w:val="00DD4EB8"/>
    <w:rsid w:val="00DD5F80"/>
    <w:rsid w:val="00DD709C"/>
    <w:rsid w:val="00DD720C"/>
    <w:rsid w:val="00DE0D75"/>
    <w:rsid w:val="00DE1A7B"/>
    <w:rsid w:val="00DE2224"/>
    <w:rsid w:val="00DE2DB2"/>
    <w:rsid w:val="00DE40DB"/>
    <w:rsid w:val="00DE4722"/>
    <w:rsid w:val="00DE4A25"/>
    <w:rsid w:val="00DE4D94"/>
    <w:rsid w:val="00DE5362"/>
    <w:rsid w:val="00DE5A56"/>
    <w:rsid w:val="00DF07E9"/>
    <w:rsid w:val="00DF0F83"/>
    <w:rsid w:val="00DF1ED0"/>
    <w:rsid w:val="00DF2370"/>
    <w:rsid w:val="00DF2F8D"/>
    <w:rsid w:val="00DF33DE"/>
    <w:rsid w:val="00DF35EC"/>
    <w:rsid w:val="00DF40B6"/>
    <w:rsid w:val="00DF681A"/>
    <w:rsid w:val="00E0229A"/>
    <w:rsid w:val="00E0307D"/>
    <w:rsid w:val="00E030E1"/>
    <w:rsid w:val="00E03EB8"/>
    <w:rsid w:val="00E05282"/>
    <w:rsid w:val="00E0564D"/>
    <w:rsid w:val="00E05FA4"/>
    <w:rsid w:val="00E077CE"/>
    <w:rsid w:val="00E07A58"/>
    <w:rsid w:val="00E07AA0"/>
    <w:rsid w:val="00E10F68"/>
    <w:rsid w:val="00E13585"/>
    <w:rsid w:val="00E1384E"/>
    <w:rsid w:val="00E13F19"/>
    <w:rsid w:val="00E147FE"/>
    <w:rsid w:val="00E15123"/>
    <w:rsid w:val="00E16032"/>
    <w:rsid w:val="00E16F62"/>
    <w:rsid w:val="00E171F5"/>
    <w:rsid w:val="00E1792C"/>
    <w:rsid w:val="00E20ABF"/>
    <w:rsid w:val="00E215A8"/>
    <w:rsid w:val="00E2215D"/>
    <w:rsid w:val="00E224F4"/>
    <w:rsid w:val="00E226C9"/>
    <w:rsid w:val="00E23B3A"/>
    <w:rsid w:val="00E24427"/>
    <w:rsid w:val="00E24429"/>
    <w:rsid w:val="00E24A3C"/>
    <w:rsid w:val="00E24BA5"/>
    <w:rsid w:val="00E25034"/>
    <w:rsid w:val="00E251CB"/>
    <w:rsid w:val="00E265E5"/>
    <w:rsid w:val="00E274A5"/>
    <w:rsid w:val="00E2753F"/>
    <w:rsid w:val="00E27815"/>
    <w:rsid w:val="00E303AF"/>
    <w:rsid w:val="00E3098D"/>
    <w:rsid w:val="00E30B37"/>
    <w:rsid w:val="00E31A43"/>
    <w:rsid w:val="00E32AEA"/>
    <w:rsid w:val="00E33C9F"/>
    <w:rsid w:val="00E3434A"/>
    <w:rsid w:val="00E34E32"/>
    <w:rsid w:val="00E3665F"/>
    <w:rsid w:val="00E367CE"/>
    <w:rsid w:val="00E379ED"/>
    <w:rsid w:val="00E4088B"/>
    <w:rsid w:val="00E41F2B"/>
    <w:rsid w:val="00E42517"/>
    <w:rsid w:val="00E426CB"/>
    <w:rsid w:val="00E429C3"/>
    <w:rsid w:val="00E431F9"/>
    <w:rsid w:val="00E434B7"/>
    <w:rsid w:val="00E436E1"/>
    <w:rsid w:val="00E439D0"/>
    <w:rsid w:val="00E44394"/>
    <w:rsid w:val="00E44B75"/>
    <w:rsid w:val="00E44C27"/>
    <w:rsid w:val="00E456AF"/>
    <w:rsid w:val="00E45F21"/>
    <w:rsid w:val="00E460C9"/>
    <w:rsid w:val="00E46B44"/>
    <w:rsid w:val="00E47953"/>
    <w:rsid w:val="00E50C4A"/>
    <w:rsid w:val="00E515C5"/>
    <w:rsid w:val="00E543BC"/>
    <w:rsid w:val="00E55064"/>
    <w:rsid w:val="00E5678B"/>
    <w:rsid w:val="00E56844"/>
    <w:rsid w:val="00E57618"/>
    <w:rsid w:val="00E60D87"/>
    <w:rsid w:val="00E61DBA"/>
    <w:rsid w:val="00E622F1"/>
    <w:rsid w:val="00E62AE8"/>
    <w:rsid w:val="00E62FC5"/>
    <w:rsid w:val="00E6380C"/>
    <w:rsid w:val="00E63914"/>
    <w:rsid w:val="00E63AF5"/>
    <w:rsid w:val="00E64459"/>
    <w:rsid w:val="00E6447B"/>
    <w:rsid w:val="00E64616"/>
    <w:rsid w:val="00E65431"/>
    <w:rsid w:val="00E67CA5"/>
    <w:rsid w:val="00E67D80"/>
    <w:rsid w:val="00E703CC"/>
    <w:rsid w:val="00E706AD"/>
    <w:rsid w:val="00E711A1"/>
    <w:rsid w:val="00E71569"/>
    <w:rsid w:val="00E71C01"/>
    <w:rsid w:val="00E71E8F"/>
    <w:rsid w:val="00E740E9"/>
    <w:rsid w:val="00E74A99"/>
    <w:rsid w:val="00E7518A"/>
    <w:rsid w:val="00E753E3"/>
    <w:rsid w:val="00E766C9"/>
    <w:rsid w:val="00E772C3"/>
    <w:rsid w:val="00E77AA5"/>
    <w:rsid w:val="00E8121B"/>
    <w:rsid w:val="00E8121C"/>
    <w:rsid w:val="00E8150F"/>
    <w:rsid w:val="00E81FF0"/>
    <w:rsid w:val="00E826E8"/>
    <w:rsid w:val="00E83AB8"/>
    <w:rsid w:val="00E83EE3"/>
    <w:rsid w:val="00E84F06"/>
    <w:rsid w:val="00E84FB4"/>
    <w:rsid w:val="00E85B9C"/>
    <w:rsid w:val="00E8727F"/>
    <w:rsid w:val="00E900FC"/>
    <w:rsid w:val="00E9179E"/>
    <w:rsid w:val="00E92551"/>
    <w:rsid w:val="00E93853"/>
    <w:rsid w:val="00E961B5"/>
    <w:rsid w:val="00E97485"/>
    <w:rsid w:val="00E974EC"/>
    <w:rsid w:val="00E97BD9"/>
    <w:rsid w:val="00EA0802"/>
    <w:rsid w:val="00EA0BCB"/>
    <w:rsid w:val="00EA1D92"/>
    <w:rsid w:val="00EA1F1D"/>
    <w:rsid w:val="00EA2C6B"/>
    <w:rsid w:val="00EA3129"/>
    <w:rsid w:val="00EA4120"/>
    <w:rsid w:val="00EA4297"/>
    <w:rsid w:val="00EA48D1"/>
    <w:rsid w:val="00EA4CE4"/>
    <w:rsid w:val="00EA5260"/>
    <w:rsid w:val="00EA5FC3"/>
    <w:rsid w:val="00EA67A3"/>
    <w:rsid w:val="00EA74AC"/>
    <w:rsid w:val="00EA75E7"/>
    <w:rsid w:val="00EA7CCC"/>
    <w:rsid w:val="00EA7CFD"/>
    <w:rsid w:val="00EA7D61"/>
    <w:rsid w:val="00EA7EE6"/>
    <w:rsid w:val="00EB025B"/>
    <w:rsid w:val="00EB184C"/>
    <w:rsid w:val="00EB1CE3"/>
    <w:rsid w:val="00EB1F88"/>
    <w:rsid w:val="00EB2873"/>
    <w:rsid w:val="00EB53F6"/>
    <w:rsid w:val="00EB5A8C"/>
    <w:rsid w:val="00EB5B62"/>
    <w:rsid w:val="00EB65F6"/>
    <w:rsid w:val="00EC0FFE"/>
    <w:rsid w:val="00EC150E"/>
    <w:rsid w:val="00EC1E59"/>
    <w:rsid w:val="00EC202D"/>
    <w:rsid w:val="00EC235C"/>
    <w:rsid w:val="00EC2918"/>
    <w:rsid w:val="00EC4D29"/>
    <w:rsid w:val="00EC65F1"/>
    <w:rsid w:val="00EC6D2E"/>
    <w:rsid w:val="00EC7F1A"/>
    <w:rsid w:val="00ED0462"/>
    <w:rsid w:val="00ED0570"/>
    <w:rsid w:val="00ED0697"/>
    <w:rsid w:val="00ED0DBF"/>
    <w:rsid w:val="00ED261C"/>
    <w:rsid w:val="00ED4188"/>
    <w:rsid w:val="00ED4206"/>
    <w:rsid w:val="00ED4C06"/>
    <w:rsid w:val="00ED714C"/>
    <w:rsid w:val="00ED7A49"/>
    <w:rsid w:val="00ED7FDD"/>
    <w:rsid w:val="00EE03E8"/>
    <w:rsid w:val="00EE0A87"/>
    <w:rsid w:val="00EE0DC4"/>
    <w:rsid w:val="00EE2165"/>
    <w:rsid w:val="00EE2878"/>
    <w:rsid w:val="00EE2C14"/>
    <w:rsid w:val="00EE2E22"/>
    <w:rsid w:val="00EE3C88"/>
    <w:rsid w:val="00EE53D7"/>
    <w:rsid w:val="00EE6931"/>
    <w:rsid w:val="00EE6FCE"/>
    <w:rsid w:val="00EE7D86"/>
    <w:rsid w:val="00EF0557"/>
    <w:rsid w:val="00EF16EF"/>
    <w:rsid w:val="00EF1BD3"/>
    <w:rsid w:val="00EF2EB8"/>
    <w:rsid w:val="00EF3427"/>
    <w:rsid w:val="00EF50DE"/>
    <w:rsid w:val="00EF6D59"/>
    <w:rsid w:val="00EF705B"/>
    <w:rsid w:val="00F010A7"/>
    <w:rsid w:val="00F03073"/>
    <w:rsid w:val="00F0335D"/>
    <w:rsid w:val="00F038B0"/>
    <w:rsid w:val="00F03BF2"/>
    <w:rsid w:val="00F03C8C"/>
    <w:rsid w:val="00F045BA"/>
    <w:rsid w:val="00F05935"/>
    <w:rsid w:val="00F05B0F"/>
    <w:rsid w:val="00F0608E"/>
    <w:rsid w:val="00F06A14"/>
    <w:rsid w:val="00F07647"/>
    <w:rsid w:val="00F104FB"/>
    <w:rsid w:val="00F108C7"/>
    <w:rsid w:val="00F10D15"/>
    <w:rsid w:val="00F10D67"/>
    <w:rsid w:val="00F115E7"/>
    <w:rsid w:val="00F11865"/>
    <w:rsid w:val="00F136A2"/>
    <w:rsid w:val="00F13EF0"/>
    <w:rsid w:val="00F1439D"/>
    <w:rsid w:val="00F14ADF"/>
    <w:rsid w:val="00F1515E"/>
    <w:rsid w:val="00F1646E"/>
    <w:rsid w:val="00F1697D"/>
    <w:rsid w:val="00F16B4B"/>
    <w:rsid w:val="00F1740F"/>
    <w:rsid w:val="00F17E84"/>
    <w:rsid w:val="00F229A1"/>
    <w:rsid w:val="00F23053"/>
    <w:rsid w:val="00F2346E"/>
    <w:rsid w:val="00F247F3"/>
    <w:rsid w:val="00F25C14"/>
    <w:rsid w:val="00F27368"/>
    <w:rsid w:val="00F2743B"/>
    <w:rsid w:val="00F275DD"/>
    <w:rsid w:val="00F27656"/>
    <w:rsid w:val="00F30147"/>
    <w:rsid w:val="00F306C9"/>
    <w:rsid w:val="00F30EB6"/>
    <w:rsid w:val="00F325AD"/>
    <w:rsid w:val="00F32D8A"/>
    <w:rsid w:val="00F35100"/>
    <w:rsid w:val="00F36A44"/>
    <w:rsid w:val="00F40015"/>
    <w:rsid w:val="00F40870"/>
    <w:rsid w:val="00F42D18"/>
    <w:rsid w:val="00F43E8E"/>
    <w:rsid w:val="00F44537"/>
    <w:rsid w:val="00F44F7D"/>
    <w:rsid w:val="00F470D0"/>
    <w:rsid w:val="00F502DD"/>
    <w:rsid w:val="00F5077A"/>
    <w:rsid w:val="00F507E8"/>
    <w:rsid w:val="00F51A45"/>
    <w:rsid w:val="00F51C44"/>
    <w:rsid w:val="00F5326A"/>
    <w:rsid w:val="00F54D02"/>
    <w:rsid w:val="00F5641A"/>
    <w:rsid w:val="00F57265"/>
    <w:rsid w:val="00F5776C"/>
    <w:rsid w:val="00F60123"/>
    <w:rsid w:val="00F61986"/>
    <w:rsid w:val="00F61E68"/>
    <w:rsid w:val="00F61F79"/>
    <w:rsid w:val="00F62B83"/>
    <w:rsid w:val="00F62DAC"/>
    <w:rsid w:val="00F642C8"/>
    <w:rsid w:val="00F647F5"/>
    <w:rsid w:val="00F64972"/>
    <w:rsid w:val="00F65D11"/>
    <w:rsid w:val="00F66078"/>
    <w:rsid w:val="00F66E27"/>
    <w:rsid w:val="00F7083C"/>
    <w:rsid w:val="00F7229B"/>
    <w:rsid w:val="00F73F6E"/>
    <w:rsid w:val="00F74840"/>
    <w:rsid w:val="00F74BDD"/>
    <w:rsid w:val="00F761A6"/>
    <w:rsid w:val="00F8052D"/>
    <w:rsid w:val="00F81A42"/>
    <w:rsid w:val="00F81ECD"/>
    <w:rsid w:val="00F8270F"/>
    <w:rsid w:val="00F82922"/>
    <w:rsid w:val="00F86700"/>
    <w:rsid w:val="00F873E3"/>
    <w:rsid w:val="00F87586"/>
    <w:rsid w:val="00F878A5"/>
    <w:rsid w:val="00F93105"/>
    <w:rsid w:val="00F9334C"/>
    <w:rsid w:val="00F93A8C"/>
    <w:rsid w:val="00F93CC7"/>
    <w:rsid w:val="00F94F67"/>
    <w:rsid w:val="00F95179"/>
    <w:rsid w:val="00F956E3"/>
    <w:rsid w:val="00F957C6"/>
    <w:rsid w:val="00F95EFD"/>
    <w:rsid w:val="00F962AF"/>
    <w:rsid w:val="00F9637B"/>
    <w:rsid w:val="00F96AD3"/>
    <w:rsid w:val="00F97EDE"/>
    <w:rsid w:val="00FA16BA"/>
    <w:rsid w:val="00FA374C"/>
    <w:rsid w:val="00FA393F"/>
    <w:rsid w:val="00FA3EDA"/>
    <w:rsid w:val="00FA595E"/>
    <w:rsid w:val="00FB0B73"/>
    <w:rsid w:val="00FB0BDB"/>
    <w:rsid w:val="00FB0C50"/>
    <w:rsid w:val="00FB1D04"/>
    <w:rsid w:val="00FB23FC"/>
    <w:rsid w:val="00FB2682"/>
    <w:rsid w:val="00FB2AF5"/>
    <w:rsid w:val="00FB2B9B"/>
    <w:rsid w:val="00FB3F3D"/>
    <w:rsid w:val="00FB4CB4"/>
    <w:rsid w:val="00FB52C3"/>
    <w:rsid w:val="00FB5624"/>
    <w:rsid w:val="00FB57D6"/>
    <w:rsid w:val="00FB597B"/>
    <w:rsid w:val="00FB63E2"/>
    <w:rsid w:val="00FB6881"/>
    <w:rsid w:val="00FB7D5E"/>
    <w:rsid w:val="00FB7F93"/>
    <w:rsid w:val="00FBAEAA"/>
    <w:rsid w:val="00FC08F7"/>
    <w:rsid w:val="00FC0AAE"/>
    <w:rsid w:val="00FC1820"/>
    <w:rsid w:val="00FC300E"/>
    <w:rsid w:val="00FC51B1"/>
    <w:rsid w:val="00FC6AC3"/>
    <w:rsid w:val="00FC7248"/>
    <w:rsid w:val="00FC76A0"/>
    <w:rsid w:val="00FD0A8F"/>
    <w:rsid w:val="00FD16EA"/>
    <w:rsid w:val="00FD20A5"/>
    <w:rsid w:val="00FD2C22"/>
    <w:rsid w:val="00FD3B7C"/>
    <w:rsid w:val="00FD5065"/>
    <w:rsid w:val="00FD5928"/>
    <w:rsid w:val="00FD5C97"/>
    <w:rsid w:val="00FD6A61"/>
    <w:rsid w:val="00FD7558"/>
    <w:rsid w:val="00FE0409"/>
    <w:rsid w:val="00FE2C7F"/>
    <w:rsid w:val="00FE3127"/>
    <w:rsid w:val="00FE37D2"/>
    <w:rsid w:val="00FE5BC3"/>
    <w:rsid w:val="00FE6B14"/>
    <w:rsid w:val="00FF019F"/>
    <w:rsid w:val="00FF0369"/>
    <w:rsid w:val="00FF0B71"/>
    <w:rsid w:val="00FF0E01"/>
    <w:rsid w:val="00FF1304"/>
    <w:rsid w:val="00FF1B0C"/>
    <w:rsid w:val="00FF1D58"/>
    <w:rsid w:val="00FF2C7D"/>
    <w:rsid w:val="00FF2E58"/>
    <w:rsid w:val="00FF732C"/>
    <w:rsid w:val="00FF75BA"/>
    <w:rsid w:val="014FBEE9"/>
    <w:rsid w:val="016C21AC"/>
    <w:rsid w:val="018861DF"/>
    <w:rsid w:val="01934A4E"/>
    <w:rsid w:val="01BE48AE"/>
    <w:rsid w:val="0265AF50"/>
    <w:rsid w:val="026FE7AD"/>
    <w:rsid w:val="027C35A8"/>
    <w:rsid w:val="02940102"/>
    <w:rsid w:val="02FE0EA7"/>
    <w:rsid w:val="0300839F"/>
    <w:rsid w:val="03374DC1"/>
    <w:rsid w:val="03387A34"/>
    <w:rsid w:val="035F0FFD"/>
    <w:rsid w:val="038D5370"/>
    <w:rsid w:val="03B47DD6"/>
    <w:rsid w:val="03C0A258"/>
    <w:rsid w:val="03CF1D5E"/>
    <w:rsid w:val="03DC5214"/>
    <w:rsid w:val="03E77313"/>
    <w:rsid w:val="040A6648"/>
    <w:rsid w:val="047F7AED"/>
    <w:rsid w:val="04A852CE"/>
    <w:rsid w:val="04A984AB"/>
    <w:rsid w:val="04CA810C"/>
    <w:rsid w:val="04D62AB6"/>
    <w:rsid w:val="04DF75E2"/>
    <w:rsid w:val="05375186"/>
    <w:rsid w:val="0555FC3E"/>
    <w:rsid w:val="059386B2"/>
    <w:rsid w:val="05D1A3A2"/>
    <w:rsid w:val="062A41A1"/>
    <w:rsid w:val="06B5C316"/>
    <w:rsid w:val="06BC6AE2"/>
    <w:rsid w:val="06C614AB"/>
    <w:rsid w:val="06CB1444"/>
    <w:rsid w:val="06CF5C14"/>
    <w:rsid w:val="06DA5AB0"/>
    <w:rsid w:val="06FB625E"/>
    <w:rsid w:val="071FE67D"/>
    <w:rsid w:val="0739ED08"/>
    <w:rsid w:val="073AF433"/>
    <w:rsid w:val="0761CE1B"/>
    <w:rsid w:val="08094E2E"/>
    <w:rsid w:val="0815483B"/>
    <w:rsid w:val="08367B3D"/>
    <w:rsid w:val="08650BAC"/>
    <w:rsid w:val="086EE5B7"/>
    <w:rsid w:val="08756CA5"/>
    <w:rsid w:val="08814F62"/>
    <w:rsid w:val="08BD0976"/>
    <w:rsid w:val="08CA5507"/>
    <w:rsid w:val="08F5B242"/>
    <w:rsid w:val="091C2201"/>
    <w:rsid w:val="09557C8B"/>
    <w:rsid w:val="0956F3D3"/>
    <w:rsid w:val="0960C094"/>
    <w:rsid w:val="09688C50"/>
    <w:rsid w:val="0972A3C8"/>
    <w:rsid w:val="097F98C7"/>
    <w:rsid w:val="09859AD3"/>
    <w:rsid w:val="09D10C56"/>
    <w:rsid w:val="09DE92FE"/>
    <w:rsid w:val="0A20D1A4"/>
    <w:rsid w:val="0A36877E"/>
    <w:rsid w:val="0A39256B"/>
    <w:rsid w:val="0A57873F"/>
    <w:rsid w:val="0A6A0BB4"/>
    <w:rsid w:val="0A70C135"/>
    <w:rsid w:val="0A8BEC68"/>
    <w:rsid w:val="0B06ADD8"/>
    <w:rsid w:val="0B09208C"/>
    <w:rsid w:val="0B0CDA6C"/>
    <w:rsid w:val="0B272D1F"/>
    <w:rsid w:val="0B368BFD"/>
    <w:rsid w:val="0B84240E"/>
    <w:rsid w:val="0BC27FF7"/>
    <w:rsid w:val="0BC5E842"/>
    <w:rsid w:val="0BE57DD1"/>
    <w:rsid w:val="0BFA1D16"/>
    <w:rsid w:val="0C27BCC9"/>
    <w:rsid w:val="0C2D6B3C"/>
    <w:rsid w:val="0C5C8396"/>
    <w:rsid w:val="0CC65C88"/>
    <w:rsid w:val="0D1934B5"/>
    <w:rsid w:val="0D3BB5C2"/>
    <w:rsid w:val="0D3EDBDB"/>
    <w:rsid w:val="0D98B3E0"/>
    <w:rsid w:val="0D9EB5CE"/>
    <w:rsid w:val="0DB1FE8F"/>
    <w:rsid w:val="0DC87F74"/>
    <w:rsid w:val="0DC9D5E4"/>
    <w:rsid w:val="0DD7A41C"/>
    <w:rsid w:val="0E0FF0CD"/>
    <w:rsid w:val="0E4F3514"/>
    <w:rsid w:val="0E553421"/>
    <w:rsid w:val="0EB93C30"/>
    <w:rsid w:val="0EBB4C2C"/>
    <w:rsid w:val="0EFF3008"/>
    <w:rsid w:val="0F152A04"/>
    <w:rsid w:val="0F2F2B73"/>
    <w:rsid w:val="0F3076D2"/>
    <w:rsid w:val="0F36E4CB"/>
    <w:rsid w:val="0F40B359"/>
    <w:rsid w:val="0F6BCC2D"/>
    <w:rsid w:val="0FCA68C0"/>
    <w:rsid w:val="0FD9E773"/>
    <w:rsid w:val="0FF79FDA"/>
    <w:rsid w:val="0FFD41F0"/>
    <w:rsid w:val="1027257D"/>
    <w:rsid w:val="103DECB3"/>
    <w:rsid w:val="104C49A1"/>
    <w:rsid w:val="10571C8D"/>
    <w:rsid w:val="1062DDCC"/>
    <w:rsid w:val="1071574F"/>
    <w:rsid w:val="107D6148"/>
    <w:rsid w:val="10A3A7BE"/>
    <w:rsid w:val="10C6266A"/>
    <w:rsid w:val="10C8C3C5"/>
    <w:rsid w:val="10D9B919"/>
    <w:rsid w:val="10E4AA50"/>
    <w:rsid w:val="110CA050"/>
    <w:rsid w:val="112D8ECD"/>
    <w:rsid w:val="11353EDB"/>
    <w:rsid w:val="11396CC0"/>
    <w:rsid w:val="11597341"/>
    <w:rsid w:val="1192921A"/>
    <w:rsid w:val="11A4BD58"/>
    <w:rsid w:val="11AABE3C"/>
    <w:rsid w:val="11C8F5C6"/>
    <w:rsid w:val="1203268E"/>
    <w:rsid w:val="12360CB8"/>
    <w:rsid w:val="12455716"/>
    <w:rsid w:val="125D3AB4"/>
    <w:rsid w:val="127CE14D"/>
    <w:rsid w:val="127D1220"/>
    <w:rsid w:val="129EBC35"/>
    <w:rsid w:val="12C9413B"/>
    <w:rsid w:val="12F89760"/>
    <w:rsid w:val="130318EF"/>
    <w:rsid w:val="131D2455"/>
    <w:rsid w:val="132DF121"/>
    <w:rsid w:val="13307D84"/>
    <w:rsid w:val="135898BF"/>
    <w:rsid w:val="135CE229"/>
    <w:rsid w:val="136C5C93"/>
    <w:rsid w:val="13731272"/>
    <w:rsid w:val="13B0C1FA"/>
    <w:rsid w:val="13B775CD"/>
    <w:rsid w:val="13F7A565"/>
    <w:rsid w:val="13FABD88"/>
    <w:rsid w:val="14582E68"/>
    <w:rsid w:val="14638F92"/>
    <w:rsid w:val="147040E4"/>
    <w:rsid w:val="14802262"/>
    <w:rsid w:val="149A11FB"/>
    <w:rsid w:val="14F23E11"/>
    <w:rsid w:val="154C1FCC"/>
    <w:rsid w:val="15677B99"/>
    <w:rsid w:val="15681D60"/>
    <w:rsid w:val="156FFEEB"/>
    <w:rsid w:val="157F50DB"/>
    <w:rsid w:val="159C2812"/>
    <w:rsid w:val="159FB77E"/>
    <w:rsid w:val="15B7D7E8"/>
    <w:rsid w:val="15F71B91"/>
    <w:rsid w:val="1602F29F"/>
    <w:rsid w:val="1655ED93"/>
    <w:rsid w:val="16685CF1"/>
    <w:rsid w:val="166E6039"/>
    <w:rsid w:val="167CC22C"/>
    <w:rsid w:val="169BAC05"/>
    <w:rsid w:val="16B472DA"/>
    <w:rsid w:val="16D0BFFB"/>
    <w:rsid w:val="16FBE004"/>
    <w:rsid w:val="17732784"/>
    <w:rsid w:val="17859AA3"/>
    <w:rsid w:val="17B730B0"/>
    <w:rsid w:val="17C2406C"/>
    <w:rsid w:val="17C9C8CB"/>
    <w:rsid w:val="17D4B82C"/>
    <w:rsid w:val="17EFBCC0"/>
    <w:rsid w:val="1810F647"/>
    <w:rsid w:val="1828B5DD"/>
    <w:rsid w:val="18356782"/>
    <w:rsid w:val="184BD275"/>
    <w:rsid w:val="1850C1DF"/>
    <w:rsid w:val="18820E1F"/>
    <w:rsid w:val="1882F211"/>
    <w:rsid w:val="18A45C1D"/>
    <w:rsid w:val="18B5DAAA"/>
    <w:rsid w:val="1900561C"/>
    <w:rsid w:val="191D2B85"/>
    <w:rsid w:val="1923B6D6"/>
    <w:rsid w:val="193D8CA1"/>
    <w:rsid w:val="198AD938"/>
    <w:rsid w:val="19A1CD2D"/>
    <w:rsid w:val="19BEB5BF"/>
    <w:rsid w:val="19D99BDC"/>
    <w:rsid w:val="1A0E3873"/>
    <w:rsid w:val="1A121CF4"/>
    <w:rsid w:val="1A1AF9D9"/>
    <w:rsid w:val="1A3530C8"/>
    <w:rsid w:val="1A3A3245"/>
    <w:rsid w:val="1A43F327"/>
    <w:rsid w:val="1A5C7032"/>
    <w:rsid w:val="1A70F6F2"/>
    <w:rsid w:val="1A9C267D"/>
    <w:rsid w:val="1ACA7F25"/>
    <w:rsid w:val="1ACC206B"/>
    <w:rsid w:val="1ACCC8A9"/>
    <w:rsid w:val="1AE60C47"/>
    <w:rsid w:val="1AFD9DF6"/>
    <w:rsid w:val="1B1853E2"/>
    <w:rsid w:val="1B210A94"/>
    <w:rsid w:val="1B3D9D8E"/>
    <w:rsid w:val="1C336EEA"/>
    <w:rsid w:val="1C34DB43"/>
    <w:rsid w:val="1C37F6DE"/>
    <w:rsid w:val="1C4BF74C"/>
    <w:rsid w:val="1C54D39F"/>
    <w:rsid w:val="1C720BEA"/>
    <w:rsid w:val="1C883AA7"/>
    <w:rsid w:val="1CAEFADB"/>
    <w:rsid w:val="1CFD4FF6"/>
    <w:rsid w:val="1D2B2715"/>
    <w:rsid w:val="1D717795"/>
    <w:rsid w:val="1D9410F4"/>
    <w:rsid w:val="1DA7FDB0"/>
    <w:rsid w:val="1DBED8CF"/>
    <w:rsid w:val="1DC0EC09"/>
    <w:rsid w:val="1DD7D8F3"/>
    <w:rsid w:val="1E24A9BD"/>
    <w:rsid w:val="1E35E65B"/>
    <w:rsid w:val="1E399C28"/>
    <w:rsid w:val="1E427A0F"/>
    <w:rsid w:val="1E6A34D3"/>
    <w:rsid w:val="1E797CB4"/>
    <w:rsid w:val="1E95CBA2"/>
    <w:rsid w:val="1E992057"/>
    <w:rsid w:val="1ECF7A8B"/>
    <w:rsid w:val="1EE3D9B2"/>
    <w:rsid w:val="1EF1F4A3"/>
    <w:rsid w:val="1F026629"/>
    <w:rsid w:val="1F32CCF7"/>
    <w:rsid w:val="1F392F8F"/>
    <w:rsid w:val="1F5658BB"/>
    <w:rsid w:val="1F635631"/>
    <w:rsid w:val="1F6B0FAC"/>
    <w:rsid w:val="1F6DCB5C"/>
    <w:rsid w:val="1FA860FA"/>
    <w:rsid w:val="1FB808F5"/>
    <w:rsid w:val="1FE517BB"/>
    <w:rsid w:val="2005E864"/>
    <w:rsid w:val="201C9687"/>
    <w:rsid w:val="202828C4"/>
    <w:rsid w:val="20642BEB"/>
    <w:rsid w:val="207AAA37"/>
    <w:rsid w:val="2082E67C"/>
    <w:rsid w:val="2083C611"/>
    <w:rsid w:val="20846F7B"/>
    <w:rsid w:val="20898B4D"/>
    <w:rsid w:val="2090580C"/>
    <w:rsid w:val="209DA63A"/>
    <w:rsid w:val="20A07DFE"/>
    <w:rsid w:val="20D85BB2"/>
    <w:rsid w:val="20E27C13"/>
    <w:rsid w:val="20E694CC"/>
    <w:rsid w:val="210D4494"/>
    <w:rsid w:val="2122C41A"/>
    <w:rsid w:val="216D871D"/>
    <w:rsid w:val="2186AF7A"/>
    <w:rsid w:val="218BBEC9"/>
    <w:rsid w:val="21AA95A8"/>
    <w:rsid w:val="220AA34E"/>
    <w:rsid w:val="220CCE7D"/>
    <w:rsid w:val="22B3C5CB"/>
    <w:rsid w:val="22F074D9"/>
    <w:rsid w:val="2332F237"/>
    <w:rsid w:val="233E3439"/>
    <w:rsid w:val="235EFB6C"/>
    <w:rsid w:val="23602BBA"/>
    <w:rsid w:val="23602C8B"/>
    <w:rsid w:val="2394671A"/>
    <w:rsid w:val="239FE8EB"/>
    <w:rsid w:val="23A35996"/>
    <w:rsid w:val="23A412B3"/>
    <w:rsid w:val="23D1A5EE"/>
    <w:rsid w:val="24075BED"/>
    <w:rsid w:val="24222CC7"/>
    <w:rsid w:val="2469CEB3"/>
    <w:rsid w:val="2504E0BF"/>
    <w:rsid w:val="2538BCFD"/>
    <w:rsid w:val="253B750C"/>
    <w:rsid w:val="2545E03A"/>
    <w:rsid w:val="254CABD3"/>
    <w:rsid w:val="25532A31"/>
    <w:rsid w:val="255F03DB"/>
    <w:rsid w:val="256325DB"/>
    <w:rsid w:val="257F786D"/>
    <w:rsid w:val="2582D568"/>
    <w:rsid w:val="259BDFFF"/>
    <w:rsid w:val="25D4677B"/>
    <w:rsid w:val="25D72E7E"/>
    <w:rsid w:val="25E83357"/>
    <w:rsid w:val="2620ED58"/>
    <w:rsid w:val="26564095"/>
    <w:rsid w:val="265D3B61"/>
    <w:rsid w:val="265F2FEC"/>
    <w:rsid w:val="26A342B7"/>
    <w:rsid w:val="26B47851"/>
    <w:rsid w:val="26BF5D6F"/>
    <w:rsid w:val="26E1CDE5"/>
    <w:rsid w:val="270946B0"/>
    <w:rsid w:val="271E089C"/>
    <w:rsid w:val="271E6D95"/>
    <w:rsid w:val="274247FF"/>
    <w:rsid w:val="275967D5"/>
    <w:rsid w:val="27A16F75"/>
    <w:rsid w:val="27B4114F"/>
    <w:rsid w:val="27CC5338"/>
    <w:rsid w:val="27D29199"/>
    <w:rsid w:val="27F5AB72"/>
    <w:rsid w:val="280DE61B"/>
    <w:rsid w:val="282A2D3E"/>
    <w:rsid w:val="283E0F1B"/>
    <w:rsid w:val="28409529"/>
    <w:rsid w:val="2847F023"/>
    <w:rsid w:val="284FCBEB"/>
    <w:rsid w:val="2856E7D0"/>
    <w:rsid w:val="28735094"/>
    <w:rsid w:val="28B20662"/>
    <w:rsid w:val="28D08B94"/>
    <w:rsid w:val="2924347B"/>
    <w:rsid w:val="293A37D4"/>
    <w:rsid w:val="294ED8E5"/>
    <w:rsid w:val="29718577"/>
    <w:rsid w:val="297825EF"/>
    <w:rsid w:val="297D2216"/>
    <w:rsid w:val="298DE157"/>
    <w:rsid w:val="299FAB4B"/>
    <w:rsid w:val="29B2B2D7"/>
    <w:rsid w:val="29E0B9BB"/>
    <w:rsid w:val="29E171F8"/>
    <w:rsid w:val="29E74BDF"/>
    <w:rsid w:val="29FCEAAF"/>
    <w:rsid w:val="2A17E543"/>
    <w:rsid w:val="2A29C3AF"/>
    <w:rsid w:val="2A35B91F"/>
    <w:rsid w:val="2A379747"/>
    <w:rsid w:val="2A3B1BFB"/>
    <w:rsid w:val="2A470B79"/>
    <w:rsid w:val="2A63F035"/>
    <w:rsid w:val="2A798905"/>
    <w:rsid w:val="2A8E4C6E"/>
    <w:rsid w:val="2AA0C098"/>
    <w:rsid w:val="2AA32210"/>
    <w:rsid w:val="2ABA0B55"/>
    <w:rsid w:val="2B04B10C"/>
    <w:rsid w:val="2B0D1D6D"/>
    <w:rsid w:val="2B0D31E6"/>
    <w:rsid w:val="2B5A6348"/>
    <w:rsid w:val="2B7F90E5"/>
    <w:rsid w:val="2B86FB3D"/>
    <w:rsid w:val="2BA9780D"/>
    <w:rsid w:val="2BF864F1"/>
    <w:rsid w:val="2C11C8F4"/>
    <w:rsid w:val="2C323B99"/>
    <w:rsid w:val="2C3C90F9"/>
    <w:rsid w:val="2C517090"/>
    <w:rsid w:val="2C55DECD"/>
    <w:rsid w:val="2C56B489"/>
    <w:rsid w:val="2C62E16C"/>
    <w:rsid w:val="2C9609AF"/>
    <w:rsid w:val="2CAD42F0"/>
    <w:rsid w:val="2CC58219"/>
    <w:rsid w:val="2CD69CF9"/>
    <w:rsid w:val="2CFE84D2"/>
    <w:rsid w:val="2D0FE74F"/>
    <w:rsid w:val="2D3BFC87"/>
    <w:rsid w:val="2D3E6E18"/>
    <w:rsid w:val="2D5DBEBE"/>
    <w:rsid w:val="2D705468"/>
    <w:rsid w:val="2D903806"/>
    <w:rsid w:val="2DB60D85"/>
    <w:rsid w:val="2DBF8C5D"/>
    <w:rsid w:val="2DDD8CBB"/>
    <w:rsid w:val="2DF03965"/>
    <w:rsid w:val="2E1D7115"/>
    <w:rsid w:val="2E45F571"/>
    <w:rsid w:val="2E6EFC0A"/>
    <w:rsid w:val="2E81797D"/>
    <w:rsid w:val="2EAF972F"/>
    <w:rsid w:val="2EE85DAB"/>
    <w:rsid w:val="2F442336"/>
    <w:rsid w:val="2F645854"/>
    <w:rsid w:val="2F8C09C6"/>
    <w:rsid w:val="2F94686E"/>
    <w:rsid w:val="2FA86473"/>
    <w:rsid w:val="2FB1671A"/>
    <w:rsid w:val="2FBE24E6"/>
    <w:rsid w:val="2FDA8C36"/>
    <w:rsid w:val="2FDE105D"/>
    <w:rsid w:val="2FE14429"/>
    <w:rsid w:val="2FFD22DB"/>
    <w:rsid w:val="30007CC5"/>
    <w:rsid w:val="3014B1B5"/>
    <w:rsid w:val="301D984B"/>
    <w:rsid w:val="30311D8D"/>
    <w:rsid w:val="30654396"/>
    <w:rsid w:val="30892F51"/>
    <w:rsid w:val="30BC8E4B"/>
    <w:rsid w:val="30ECC79F"/>
    <w:rsid w:val="30EF81AF"/>
    <w:rsid w:val="30EF9628"/>
    <w:rsid w:val="310E40F3"/>
    <w:rsid w:val="312D4A77"/>
    <w:rsid w:val="313D1CA0"/>
    <w:rsid w:val="31487A28"/>
    <w:rsid w:val="316A15EC"/>
    <w:rsid w:val="317D9633"/>
    <w:rsid w:val="318F623C"/>
    <w:rsid w:val="31957975"/>
    <w:rsid w:val="3198F33C"/>
    <w:rsid w:val="31A754C1"/>
    <w:rsid w:val="31AF9827"/>
    <w:rsid w:val="31B9339E"/>
    <w:rsid w:val="31CAF3AB"/>
    <w:rsid w:val="31F54754"/>
    <w:rsid w:val="31F90AC6"/>
    <w:rsid w:val="323530D2"/>
    <w:rsid w:val="324F0FB7"/>
    <w:rsid w:val="3278E8E8"/>
    <w:rsid w:val="328731C0"/>
    <w:rsid w:val="32B2770E"/>
    <w:rsid w:val="32C17F79"/>
    <w:rsid w:val="32D3E65C"/>
    <w:rsid w:val="32DAA7D6"/>
    <w:rsid w:val="3330CC90"/>
    <w:rsid w:val="33A5CBC5"/>
    <w:rsid w:val="33B38BDC"/>
    <w:rsid w:val="33D23407"/>
    <w:rsid w:val="33ED920B"/>
    <w:rsid w:val="34133E3B"/>
    <w:rsid w:val="344B9C08"/>
    <w:rsid w:val="345D842B"/>
    <w:rsid w:val="347D63CA"/>
    <w:rsid w:val="3480F88E"/>
    <w:rsid w:val="34885C7B"/>
    <w:rsid w:val="348C62FD"/>
    <w:rsid w:val="34C3392F"/>
    <w:rsid w:val="34DDDC9A"/>
    <w:rsid w:val="34E7F692"/>
    <w:rsid w:val="34FFABCB"/>
    <w:rsid w:val="3564B040"/>
    <w:rsid w:val="35724337"/>
    <w:rsid w:val="358C7D3E"/>
    <w:rsid w:val="359B06A6"/>
    <w:rsid w:val="35AF0E9C"/>
    <w:rsid w:val="35B089AA"/>
    <w:rsid w:val="35C250D1"/>
    <w:rsid w:val="35C55A86"/>
    <w:rsid w:val="35E3F610"/>
    <w:rsid w:val="35F4C40B"/>
    <w:rsid w:val="3608C31F"/>
    <w:rsid w:val="360F2869"/>
    <w:rsid w:val="36242CDC"/>
    <w:rsid w:val="363209E9"/>
    <w:rsid w:val="3671DF53"/>
    <w:rsid w:val="367AEC7C"/>
    <w:rsid w:val="36B30182"/>
    <w:rsid w:val="36BCA7DD"/>
    <w:rsid w:val="36C2438C"/>
    <w:rsid w:val="36F0AC6C"/>
    <w:rsid w:val="36F588EF"/>
    <w:rsid w:val="37120A87"/>
    <w:rsid w:val="372501DD"/>
    <w:rsid w:val="373EF9B6"/>
    <w:rsid w:val="374C5A0B"/>
    <w:rsid w:val="378D55C3"/>
    <w:rsid w:val="37928F9A"/>
    <w:rsid w:val="3798BAD5"/>
    <w:rsid w:val="37A2F332"/>
    <w:rsid w:val="37CB3877"/>
    <w:rsid w:val="37E516D9"/>
    <w:rsid w:val="3816BEEF"/>
    <w:rsid w:val="3859DA85"/>
    <w:rsid w:val="3882C3FE"/>
    <w:rsid w:val="38833A77"/>
    <w:rsid w:val="38BD863B"/>
    <w:rsid w:val="38BF84C7"/>
    <w:rsid w:val="38DD6411"/>
    <w:rsid w:val="391AE106"/>
    <w:rsid w:val="392E5FFB"/>
    <w:rsid w:val="393008C1"/>
    <w:rsid w:val="399421CC"/>
    <w:rsid w:val="3999B37C"/>
    <w:rsid w:val="399A601F"/>
    <w:rsid w:val="399D4FBE"/>
    <w:rsid w:val="39A608ED"/>
    <w:rsid w:val="39AB4504"/>
    <w:rsid w:val="39B8B7D0"/>
    <w:rsid w:val="39CADBFA"/>
    <w:rsid w:val="39D284CB"/>
    <w:rsid w:val="3A056C02"/>
    <w:rsid w:val="3A2B60E0"/>
    <w:rsid w:val="3A6E135B"/>
    <w:rsid w:val="3A89EB62"/>
    <w:rsid w:val="3A8DD962"/>
    <w:rsid w:val="3A9676DE"/>
    <w:rsid w:val="3ACBF3F9"/>
    <w:rsid w:val="3AFB488E"/>
    <w:rsid w:val="3B2E6ACC"/>
    <w:rsid w:val="3B3AF5DD"/>
    <w:rsid w:val="3B46F7DA"/>
    <w:rsid w:val="3B66AC5B"/>
    <w:rsid w:val="3B7D5583"/>
    <w:rsid w:val="3B981D1A"/>
    <w:rsid w:val="3BA13C63"/>
    <w:rsid w:val="3BB32ECE"/>
    <w:rsid w:val="3BC89CEA"/>
    <w:rsid w:val="3BF1CD92"/>
    <w:rsid w:val="3BF8A3A8"/>
    <w:rsid w:val="3BFE3396"/>
    <w:rsid w:val="3C011EAD"/>
    <w:rsid w:val="3C036073"/>
    <w:rsid w:val="3C04E809"/>
    <w:rsid w:val="3C06BE12"/>
    <w:rsid w:val="3C111A67"/>
    <w:rsid w:val="3C644A05"/>
    <w:rsid w:val="3C6BB4BD"/>
    <w:rsid w:val="3C74BD22"/>
    <w:rsid w:val="3C949448"/>
    <w:rsid w:val="3C9B74F0"/>
    <w:rsid w:val="3CDDA958"/>
    <w:rsid w:val="3CE39369"/>
    <w:rsid w:val="3D05DEF1"/>
    <w:rsid w:val="3D23C595"/>
    <w:rsid w:val="3D47CE54"/>
    <w:rsid w:val="3D4A5587"/>
    <w:rsid w:val="3D64CA73"/>
    <w:rsid w:val="3D89F51D"/>
    <w:rsid w:val="3D93D804"/>
    <w:rsid w:val="3D9E89C3"/>
    <w:rsid w:val="3E001A66"/>
    <w:rsid w:val="3E171011"/>
    <w:rsid w:val="3E3C07FB"/>
    <w:rsid w:val="3E9E4D1D"/>
    <w:rsid w:val="3EAC2F1A"/>
    <w:rsid w:val="3ED8DD25"/>
    <w:rsid w:val="3F2301B4"/>
    <w:rsid w:val="3F2884F9"/>
    <w:rsid w:val="3F4A19B7"/>
    <w:rsid w:val="3F4A2F0E"/>
    <w:rsid w:val="3F65B4C8"/>
    <w:rsid w:val="3F6B6E6E"/>
    <w:rsid w:val="3FA39742"/>
    <w:rsid w:val="3FAEF7AF"/>
    <w:rsid w:val="3FB378B6"/>
    <w:rsid w:val="3FB3E1F4"/>
    <w:rsid w:val="402E2F15"/>
    <w:rsid w:val="4079FD39"/>
    <w:rsid w:val="40C6412D"/>
    <w:rsid w:val="40D61777"/>
    <w:rsid w:val="40E4ABC2"/>
    <w:rsid w:val="4111B952"/>
    <w:rsid w:val="414B33A1"/>
    <w:rsid w:val="4185E919"/>
    <w:rsid w:val="41C9728B"/>
    <w:rsid w:val="41D5EDDF"/>
    <w:rsid w:val="4255EC85"/>
    <w:rsid w:val="425E2113"/>
    <w:rsid w:val="42606151"/>
    <w:rsid w:val="4278BF65"/>
    <w:rsid w:val="428572C9"/>
    <w:rsid w:val="42867AFE"/>
    <w:rsid w:val="4286D2C3"/>
    <w:rsid w:val="42BA632C"/>
    <w:rsid w:val="42F870B3"/>
    <w:rsid w:val="43081B2C"/>
    <w:rsid w:val="43238F5A"/>
    <w:rsid w:val="4331A5A4"/>
    <w:rsid w:val="43454375"/>
    <w:rsid w:val="43483383"/>
    <w:rsid w:val="434D507E"/>
    <w:rsid w:val="43682C3A"/>
    <w:rsid w:val="4380FD32"/>
    <w:rsid w:val="4384073A"/>
    <w:rsid w:val="4391187D"/>
    <w:rsid w:val="43B73547"/>
    <w:rsid w:val="43BDF97E"/>
    <w:rsid w:val="43C12919"/>
    <w:rsid w:val="43E7E39F"/>
    <w:rsid w:val="44386BE3"/>
    <w:rsid w:val="443925EB"/>
    <w:rsid w:val="4451A94A"/>
    <w:rsid w:val="445857C5"/>
    <w:rsid w:val="445D9E45"/>
    <w:rsid w:val="446E148E"/>
    <w:rsid w:val="4479129E"/>
    <w:rsid w:val="44A3B08B"/>
    <w:rsid w:val="44ADEA09"/>
    <w:rsid w:val="44D31768"/>
    <w:rsid w:val="44E920DF"/>
    <w:rsid w:val="44F0DC0A"/>
    <w:rsid w:val="452CE8DE"/>
    <w:rsid w:val="4545A970"/>
    <w:rsid w:val="45491070"/>
    <w:rsid w:val="45500C2F"/>
    <w:rsid w:val="456E6DD4"/>
    <w:rsid w:val="457F6F31"/>
    <w:rsid w:val="458BA1AD"/>
    <w:rsid w:val="45A515DC"/>
    <w:rsid w:val="45AC6225"/>
    <w:rsid w:val="45BD3E05"/>
    <w:rsid w:val="45CE9AFA"/>
    <w:rsid w:val="45D85627"/>
    <w:rsid w:val="45DC7E30"/>
    <w:rsid w:val="45DD39CF"/>
    <w:rsid w:val="45E76E23"/>
    <w:rsid w:val="45F32616"/>
    <w:rsid w:val="465FBACA"/>
    <w:rsid w:val="4671C9D9"/>
    <w:rsid w:val="467E2689"/>
    <w:rsid w:val="467FE262"/>
    <w:rsid w:val="46C7361D"/>
    <w:rsid w:val="46FA337E"/>
    <w:rsid w:val="473C033F"/>
    <w:rsid w:val="473E2524"/>
    <w:rsid w:val="477EE70F"/>
    <w:rsid w:val="4799C7F6"/>
    <w:rsid w:val="47A1D782"/>
    <w:rsid w:val="47ACF379"/>
    <w:rsid w:val="47D5595D"/>
    <w:rsid w:val="47F94932"/>
    <w:rsid w:val="47F9E5D3"/>
    <w:rsid w:val="4817F190"/>
    <w:rsid w:val="48412D1C"/>
    <w:rsid w:val="486A03A9"/>
    <w:rsid w:val="489E3E27"/>
    <w:rsid w:val="48C11E1E"/>
    <w:rsid w:val="48D4FA4D"/>
    <w:rsid w:val="48DEDC63"/>
    <w:rsid w:val="48EE561C"/>
    <w:rsid w:val="490D56E3"/>
    <w:rsid w:val="492CD723"/>
    <w:rsid w:val="49403DC7"/>
    <w:rsid w:val="495F02D2"/>
    <w:rsid w:val="49811912"/>
    <w:rsid w:val="498D9E47"/>
    <w:rsid w:val="4992D0DE"/>
    <w:rsid w:val="49ABD267"/>
    <w:rsid w:val="49B558F6"/>
    <w:rsid w:val="49C768AE"/>
    <w:rsid w:val="49CB3077"/>
    <w:rsid w:val="49E10A5C"/>
    <w:rsid w:val="4A0054AB"/>
    <w:rsid w:val="4A08E6B9"/>
    <w:rsid w:val="4A21D8E1"/>
    <w:rsid w:val="4A21EC15"/>
    <w:rsid w:val="4A465E7E"/>
    <w:rsid w:val="4A5DFDE8"/>
    <w:rsid w:val="4A695A5F"/>
    <w:rsid w:val="4ABEA09E"/>
    <w:rsid w:val="4AC1DFCD"/>
    <w:rsid w:val="4AC68206"/>
    <w:rsid w:val="4AC6C0A7"/>
    <w:rsid w:val="4AE9C4AF"/>
    <w:rsid w:val="4AF60B37"/>
    <w:rsid w:val="4AFB42B1"/>
    <w:rsid w:val="4B0A88A6"/>
    <w:rsid w:val="4B1A837A"/>
    <w:rsid w:val="4B282AE9"/>
    <w:rsid w:val="4B4ACF3C"/>
    <w:rsid w:val="4B62DAED"/>
    <w:rsid w:val="4B63390F"/>
    <w:rsid w:val="4B87C564"/>
    <w:rsid w:val="4BC119F7"/>
    <w:rsid w:val="4BCB876D"/>
    <w:rsid w:val="4BD65B75"/>
    <w:rsid w:val="4BF41A5C"/>
    <w:rsid w:val="4BFB2F03"/>
    <w:rsid w:val="4C14B530"/>
    <w:rsid w:val="4C27514A"/>
    <w:rsid w:val="4C398339"/>
    <w:rsid w:val="4C576ABB"/>
    <w:rsid w:val="4C5E4894"/>
    <w:rsid w:val="4C886692"/>
    <w:rsid w:val="4CA983F7"/>
    <w:rsid w:val="4CA9F1F2"/>
    <w:rsid w:val="4CD7F3F0"/>
    <w:rsid w:val="4CE70470"/>
    <w:rsid w:val="4D2813BF"/>
    <w:rsid w:val="4D381013"/>
    <w:rsid w:val="4D8C972A"/>
    <w:rsid w:val="4D94CF1F"/>
    <w:rsid w:val="4D977A23"/>
    <w:rsid w:val="4DBD2ADF"/>
    <w:rsid w:val="4DC1C73F"/>
    <w:rsid w:val="4DDEE61A"/>
    <w:rsid w:val="4DECCCC5"/>
    <w:rsid w:val="4DEFE11D"/>
    <w:rsid w:val="4DFAB780"/>
    <w:rsid w:val="4E4384D6"/>
    <w:rsid w:val="4E5588D3"/>
    <w:rsid w:val="4ED3CB24"/>
    <w:rsid w:val="4ED74BC2"/>
    <w:rsid w:val="4EE346D2"/>
    <w:rsid w:val="4EF335AB"/>
    <w:rsid w:val="4F789E64"/>
    <w:rsid w:val="4F8D3D10"/>
    <w:rsid w:val="4F8F0B7D"/>
    <w:rsid w:val="4FCF14C0"/>
    <w:rsid w:val="502F985C"/>
    <w:rsid w:val="5048A82A"/>
    <w:rsid w:val="505A6530"/>
    <w:rsid w:val="506D8A26"/>
    <w:rsid w:val="508F060C"/>
    <w:rsid w:val="509FE952"/>
    <w:rsid w:val="50E36CA3"/>
    <w:rsid w:val="50E6D746"/>
    <w:rsid w:val="50FA6003"/>
    <w:rsid w:val="5140BBD5"/>
    <w:rsid w:val="514A361B"/>
    <w:rsid w:val="515F70E3"/>
    <w:rsid w:val="5174C46D"/>
    <w:rsid w:val="51A54107"/>
    <w:rsid w:val="51A769C2"/>
    <w:rsid w:val="51AA7F1A"/>
    <w:rsid w:val="51F7C7F8"/>
    <w:rsid w:val="5224D94E"/>
    <w:rsid w:val="524F3187"/>
    <w:rsid w:val="526A7087"/>
    <w:rsid w:val="52716B8B"/>
    <w:rsid w:val="5299D2FA"/>
    <w:rsid w:val="52AECFF8"/>
    <w:rsid w:val="52E7D2C2"/>
    <w:rsid w:val="52E7E214"/>
    <w:rsid w:val="52EC4D0D"/>
    <w:rsid w:val="52F3F9BE"/>
    <w:rsid w:val="533E4122"/>
    <w:rsid w:val="534C1033"/>
    <w:rsid w:val="53548D26"/>
    <w:rsid w:val="53695D5E"/>
    <w:rsid w:val="53C6A6CE"/>
    <w:rsid w:val="53C71E77"/>
    <w:rsid w:val="53C8C9FE"/>
    <w:rsid w:val="540ED174"/>
    <w:rsid w:val="545523FD"/>
    <w:rsid w:val="547444DD"/>
    <w:rsid w:val="54810258"/>
    <w:rsid w:val="549749B2"/>
    <w:rsid w:val="54CC0E23"/>
    <w:rsid w:val="54D4D6AF"/>
    <w:rsid w:val="54DDF37C"/>
    <w:rsid w:val="54F67908"/>
    <w:rsid w:val="551019B4"/>
    <w:rsid w:val="552B665F"/>
    <w:rsid w:val="554BD71F"/>
    <w:rsid w:val="554D6FDD"/>
    <w:rsid w:val="555D8A94"/>
    <w:rsid w:val="5560CF98"/>
    <w:rsid w:val="5586D249"/>
    <w:rsid w:val="55C98E60"/>
    <w:rsid w:val="55ED216A"/>
    <w:rsid w:val="55FCD3E0"/>
    <w:rsid w:val="5610153E"/>
    <w:rsid w:val="563A3D5B"/>
    <w:rsid w:val="567E1752"/>
    <w:rsid w:val="56829177"/>
    <w:rsid w:val="56830652"/>
    <w:rsid w:val="5687C80F"/>
    <w:rsid w:val="56A6AFE1"/>
    <w:rsid w:val="56AD2082"/>
    <w:rsid w:val="56E61C4D"/>
    <w:rsid w:val="56EAF74F"/>
    <w:rsid w:val="56EBB44B"/>
    <w:rsid w:val="56F242EF"/>
    <w:rsid w:val="56F6BBF0"/>
    <w:rsid w:val="579E7868"/>
    <w:rsid w:val="57AE8D2A"/>
    <w:rsid w:val="57E8E763"/>
    <w:rsid w:val="57F71DB6"/>
    <w:rsid w:val="57FF56DA"/>
    <w:rsid w:val="57FF7C1C"/>
    <w:rsid w:val="5831D9D3"/>
    <w:rsid w:val="58555287"/>
    <w:rsid w:val="5860959B"/>
    <w:rsid w:val="5887D79C"/>
    <w:rsid w:val="5897BBDB"/>
    <w:rsid w:val="58A1415D"/>
    <w:rsid w:val="58BC2DAC"/>
    <w:rsid w:val="58FE52C8"/>
    <w:rsid w:val="5901BC1B"/>
    <w:rsid w:val="5937F062"/>
    <w:rsid w:val="595F780E"/>
    <w:rsid w:val="598AF178"/>
    <w:rsid w:val="59B0E22E"/>
    <w:rsid w:val="59BC4AC9"/>
    <w:rsid w:val="59C91654"/>
    <w:rsid w:val="5A3C53D1"/>
    <w:rsid w:val="5A3EA048"/>
    <w:rsid w:val="5A47E93C"/>
    <w:rsid w:val="5A491FCC"/>
    <w:rsid w:val="5A4ADD25"/>
    <w:rsid w:val="5A5E4F12"/>
    <w:rsid w:val="5A754603"/>
    <w:rsid w:val="5A8D3E7F"/>
    <w:rsid w:val="5AAD5062"/>
    <w:rsid w:val="5ACE6425"/>
    <w:rsid w:val="5AEAAFDA"/>
    <w:rsid w:val="5B0E1BE7"/>
    <w:rsid w:val="5B143BB2"/>
    <w:rsid w:val="5B1684FF"/>
    <w:rsid w:val="5B216197"/>
    <w:rsid w:val="5B2C91D4"/>
    <w:rsid w:val="5B2F3053"/>
    <w:rsid w:val="5BB6E97F"/>
    <w:rsid w:val="5BB77F07"/>
    <w:rsid w:val="5BC8CC94"/>
    <w:rsid w:val="5C00F2FD"/>
    <w:rsid w:val="5C066DAF"/>
    <w:rsid w:val="5C35B558"/>
    <w:rsid w:val="5C3679EC"/>
    <w:rsid w:val="5C41FE81"/>
    <w:rsid w:val="5C87CF26"/>
    <w:rsid w:val="5CCB00B4"/>
    <w:rsid w:val="5CD2ED3F"/>
    <w:rsid w:val="5CDAA2C2"/>
    <w:rsid w:val="5CE80AF0"/>
    <w:rsid w:val="5D26CDD9"/>
    <w:rsid w:val="5D2A4199"/>
    <w:rsid w:val="5D4B3769"/>
    <w:rsid w:val="5D85F12E"/>
    <w:rsid w:val="5DA23E10"/>
    <w:rsid w:val="5DDA7918"/>
    <w:rsid w:val="5DF364EA"/>
    <w:rsid w:val="5E2291DB"/>
    <w:rsid w:val="5E2527C9"/>
    <w:rsid w:val="5E83A59F"/>
    <w:rsid w:val="5E8D9C00"/>
    <w:rsid w:val="5E97ED05"/>
    <w:rsid w:val="5EA229BB"/>
    <w:rsid w:val="5EEDD433"/>
    <w:rsid w:val="5EEF1FC9"/>
    <w:rsid w:val="5F0E5261"/>
    <w:rsid w:val="5F31C046"/>
    <w:rsid w:val="5F5A930D"/>
    <w:rsid w:val="5F8B79FD"/>
    <w:rsid w:val="5F8DBBCF"/>
    <w:rsid w:val="5F8EBC58"/>
    <w:rsid w:val="5F9B1FEC"/>
    <w:rsid w:val="5FBB5604"/>
    <w:rsid w:val="5FBB75F6"/>
    <w:rsid w:val="5FD15D46"/>
    <w:rsid w:val="5FD48AA9"/>
    <w:rsid w:val="5FEBEF91"/>
    <w:rsid w:val="5FEE4CEF"/>
    <w:rsid w:val="601A97C7"/>
    <w:rsid w:val="6023B65E"/>
    <w:rsid w:val="60B5F4D9"/>
    <w:rsid w:val="60D9DED2"/>
    <w:rsid w:val="60E3FBE1"/>
    <w:rsid w:val="60E7F6D7"/>
    <w:rsid w:val="6109136C"/>
    <w:rsid w:val="610A00FE"/>
    <w:rsid w:val="61720AD2"/>
    <w:rsid w:val="6177B155"/>
    <w:rsid w:val="61837D36"/>
    <w:rsid w:val="61A65E62"/>
    <w:rsid w:val="61B0E200"/>
    <w:rsid w:val="61B9CAA5"/>
    <w:rsid w:val="622A4CC5"/>
    <w:rsid w:val="62517932"/>
    <w:rsid w:val="62626DC4"/>
    <w:rsid w:val="6263CAEF"/>
    <w:rsid w:val="62B86247"/>
    <w:rsid w:val="62E95140"/>
    <w:rsid w:val="630CAB77"/>
    <w:rsid w:val="63195BEB"/>
    <w:rsid w:val="631D66CE"/>
    <w:rsid w:val="634F78D4"/>
    <w:rsid w:val="63511613"/>
    <w:rsid w:val="635B5720"/>
    <w:rsid w:val="6374B514"/>
    <w:rsid w:val="639CFED9"/>
    <w:rsid w:val="63BB6CC3"/>
    <w:rsid w:val="63CFE8A1"/>
    <w:rsid w:val="63DE74F9"/>
    <w:rsid w:val="640F04C8"/>
    <w:rsid w:val="642531B1"/>
    <w:rsid w:val="642EE4A4"/>
    <w:rsid w:val="6442558B"/>
    <w:rsid w:val="644625F7"/>
    <w:rsid w:val="644FB090"/>
    <w:rsid w:val="64B5AD88"/>
    <w:rsid w:val="650EF6CB"/>
    <w:rsid w:val="6511071E"/>
    <w:rsid w:val="651C74FC"/>
    <w:rsid w:val="653CFA24"/>
    <w:rsid w:val="65C45B16"/>
    <w:rsid w:val="65D40F9F"/>
    <w:rsid w:val="65D9BEC8"/>
    <w:rsid w:val="66268783"/>
    <w:rsid w:val="66385547"/>
    <w:rsid w:val="66389F3A"/>
    <w:rsid w:val="66590DAB"/>
    <w:rsid w:val="66A267BA"/>
    <w:rsid w:val="66D05A91"/>
    <w:rsid w:val="66F0C127"/>
    <w:rsid w:val="66F56980"/>
    <w:rsid w:val="670A07E4"/>
    <w:rsid w:val="6718553A"/>
    <w:rsid w:val="671C58E0"/>
    <w:rsid w:val="671E13B5"/>
    <w:rsid w:val="6722535B"/>
    <w:rsid w:val="67435458"/>
    <w:rsid w:val="67782F7C"/>
    <w:rsid w:val="679583B5"/>
    <w:rsid w:val="67A6B8B7"/>
    <w:rsid w:val="67AB0544"/>
    <w:rsid w:val="67D9965D"/>
    <w:rsid w:val="68244ABD"/>
    <w:rsid w:val="6859BEA9"/>
    <w:rsid w:val="6882617D"/>
    <w:rsid w:val="694D1844"/>
    <w:rsid w:val="6972F54D"/>
    <w:rsid w:val="6994F6F8"/>
    <w:rsid w:val="6997AF37"/>
    <w:rsid w:val="69F6D099"/>
    <w:rsid w:val="6A26AC23"/>
    <w:rsid w:val="6A370130"/>
    <w:rsid w:val="6A5B9D63"/>
    <w:rsid w:val="6A7BAB5E"/>
    <w:rsid w:val="6A88F9DA"/>
    <w:rsid w:val="6A898FBA"/>
    <w:rsid w:val="6AACBC5B"/>
    <w:rsid w:val="6ADF80B7"/>
    <w:rsid w:val="6AE2A606"/>
    <w:rsid w:val="6AE2AA13"/>
    <w:rsid w:val="6B16B4F6"/>
    <w:rsid w:val="6B292F8C"/>
    <w:rsid w:val="6B2A5F7C"/>
    <w:rsid w:val="6B3DB7E9"/>
    <w:rsid w:val="6B5CC4F1"/>
    <w:rsid w:val="6B5FDA26"/>
    <w:rsid w:val="6B7C5C41"/>
    <w:rsid w:val="6B99DA8E"/>
    <w:rsid w:val="6BCBD806"/>
    <w:rsid w:val="6BD444C1"/>
    <w:rsid w:val="6BD9BB6F"/>
    <w:rsid w:val="6C12908B"/>
    <w:rsid w:val="6C14595D"/>
    <w:rsid w:val="6C3C37EB"/>
    <w:rsid w:val="6C64EC53"/>
    <w:rsid w:val="6C66CC71"/>
    <w:rsid w:val="6C738A2D"/>
    <w:rsid w:val="6C93E01E"/>
    <w:rsid w:val="6C9A49B8"/>
    <w:rsid w:val="6CABB829"/>
    <w:rsid w:val="6CC1D0E6"/>
    <w:rsid w:val="6CDE3143"/>
    <w:rsid w:val="6CEC7A0C"/>
    <w:rsid w:val="6CED4E34"/>
    <w:rsid w:val="6D002B78"/>
    <w:rsid w:val="6D2B9FAB"/>
    <w:rsid w:val="6D5F2254"/>
    <w:rsid w:val="6D71CBDA"/>
    <w:rsid w:val="6D8CCC43"/>
    <w:rsid w:val="6D96A7D2"/>
    <w:rsid w:val="6DF8CEEA"/>
    <w:rsid w:val="6DFF6F62"/>
    <w:rsid w:val="6E077F31"/>
    <w:rsid w:val="6E6E24C5"/>
    <w:rsid w:val="6E8AA697"/>
    <w:rsid w:val="6EC4930F"/>
    <w:rsid w:val="6ED1825D"/>
    <w:rsid w:val="6F0D9C3B"/>
    <w:rsid w:val="6F197783"/>
    <w:rsid w:val="6F5F7C00"/>
    <w:rsid w:val="6F798FF4"/>
    <w:rsid w:val="6F7C6C2B"/>
    <w:rsid w:val="6F9AA3F5"/>
    <w:rsid w:val="6FA14B9F"/>
    <w:rsid w:val="6FA5E9E0"/>
    <w:rsid w:val="6FE1F766"/>
    <w:rsid w:val="6FFDD09F"/>
    <w:rsid w:val="701438F2"/>
    <w:rsid w:val="701E72EF"/>
    <w:rsid w:val="70296DA4"/>
    <w:rsid w:val="7061BBFF"/>
    <w:rsid w:val="707138CD"/>
    <w:rsid w:val="707AE45C"/>
    <w:rsid w:val="709AAB2F"/>
    <w:rsid w:val="70D3879B"/>
    <w:rsid w:val="70F83B5E"/>
    <w:rsid w:val="7100B346"/>
    <w:rsid w:val="710190D4"/>
    <w:rsid w:val="7108CD46"/>
    <w:rsid w:val="712463FF"/>
    <w:rsid w:val="713D2D0A"/>
    <w:rsid w:val="71434081"/>
    <w:rsid w:val="7144654D"/>
    <w:rsid w:val="717B3650"/>
    <w:rsid w:val="71A5F65D"/>
    <w:rsid w:val="71C5DB7F"/>
    <w:rsid w:val="72029BAF"/>
    <w:rsid w:val="723E17CB"/>
    <w:rsid w:val="72710C71"/>
    <w:rsid w:val="7276122A"/>
    <w:rsid w:val="72858A06"/>
    <w:rsid w:val="72B6027E"/>
    <w:rsid w:val="72C3082C"/>
    <w:rsid w:val="72E27B05"/>
    <w:rsid w:val="732129A4"/>
    <w:rsid w:val="7323A95A"/>
    <w:rsid w:val="7374FD8A"/>
    <w:rsid w:val="73B76127"/>
    <w:rsid w:val="73B7946D"/>
    <w:rsid w:val="73C24904"/>
    <w:rsid w:val="73D07941"/>
    <w:rsid w:val="73D62B81"/>
    <w:rsid w:val="73DB7E00"/>
    <w:rsid w:val="74000F19"/>
    <w:rsid w:val="7400E8AE"/>
    <w:rsid w:val="7430430B"/>
    <w:rsid w:val="747FC76C"/>
    <w:rsid w:val="748EBF60"/>
    <w:rsid w:val="7496BC52"/>
    <w:rsid w:val="74A397E6"/>
    <w:rsid w:val="74BCFA05"/>
    <w:rsid w:val="74E6EB9F"/>
    <w:rsid w:val="74EEA429"/>
    <w:rsid w:val="75309559"/>
    <w:rsid w:val="75343983"/>
    <w:rsid w:val="75360D53"/>
    <w:rsid w:val="753A3C71"/>
    <w:rsid w:val="7544986E"/>
    <w:rsid w:val="75592F07"/>
    <w:rsid w:val="7565A149"/>
    <w:rsid w:val="7576CF90"/>
    <w:rsid w:val="757E47B3"/>
    <w:rsid w:val="75829FCF"/>
    <w:rsid w:val="7585EF5E"/>
    <w:rsid w:val="75CAA4D7"/>
    <w:rsid w:val="75EDA340"/>
    <w:rsid w:val="76014E69"/>
    <w:rsid w:val="76158B87"/>
    <w:rsid w:val="7624166A"/>
    <w:rsid w:val="767AC2AF"/>
    <w:rsid w:val="7681133A"/>
    <w:rsid w:val="76A4C52D"/>
    <w:rsid w:val="76A865FB"/>
    <w:rsid w:val="76AE4EAA"/>
    <w:rsid w:val="76B0E0F9"/>
    <w:rsid w:val="76BECABD"/>
    <w:rsid w:val="76D1E390"/>
    <w:rsid w:val="76ED8B0C"/>
    <w:rsid w:val="772F01F3"/>
    <w:rsid w:val="77348A8D"/>
    <w:rsid w:val="7754FB9E"/>
    <w:rsid w:val="776A4337"/>
    <w:rsid w:val="77A9BD3B"/>
    <w:rsid w:val="77B3FDBC"/>
    <w:rsid w:val="77B55801"/>
    <w:rsid w:val="77C8E582"/>
    <w:rsid w:val="77F601ED"/>
    <w:rsid w:val="780C5B9D"/>
    <w:rsid w:val="786CCDE4"/>
    <w:rsid w:val="786F9E1D"/>
    <w:rsid w:val="7879B544"/>
    <w:rsid w:val="788B0590"/>
    <w:rsid w:val="78AD80C3"/>
    <w:rsid w:val="78D5B9BA"/>
    <w:rsid w:val="78DD8B6E"/>
    <w:rsid w:val="78E6AD72"/>
    <w:rsid w:val="78EA36F4"/>
    <w:rsid w:val="78EFA5B4"/>
    <w:rsid w:val="79343627"/>
    <w:rsid w:val="7979D4B5"/>
    <w:rsid w:val="798B8A88"/>
    <w:rsid w:val="79E1DA56"/>
    <w:rsid w:val="7A200F07"/>
    <w:rsid w:val="7A57D35E"/>
    <w:rsid w:val="7A5A638B"/>
    <w:rsid w:val="7A70B645"/>
    <w:rsid w:val="7A726BD9"/>
    <w:rsid w:val="7A86F8C6"/>
    <w:rsid w:val="7A8B5A65"/>
    <w:rsid w:val="7A9FF229"/>
    <w:rsid w:val="7AB96797"/>
    <w:rsid w:val="7AD536A1"/>
    <w:rsid w:val="7ADD0364"/>
    <w:rsid w:val="7AECFB7B"/>
    <w:rsid w:val="7B3E74DD"/>
    <w:rsid w:val="7B46F3FA"/>
    <w:rsid w:val="7B694FF9"/>
    <w:rsid w:val="7B6ABEFA"/>
    <w:rsid w:val="7B98BC04"/>
    <w:rsid w:val="7BA97DF5"/>
    <w:rsid w:val="7BBA9C1D"/>
    <w:rsid w:val="7C3EE426"/>
    <w:rsid w:val="7C41BE24"/>
    <w:rsid w:val="7C63EB0D"/>
    <w:rsid w:val="7C7444BE"/>
    <w:rsid w:val="7C8BFC86"/>
    <w:rsid w:val="7C99C7D1"/>
    <w:rsid w:val="7CB1A324"/>
    <w:rsid w:val="7CF3BC74"/>
    <w:rsid w:val="7CF77A1E"/>
    <w:rsid w:val="7D20227D"/>
    <w:rsid w:val="7D3C429C"/>
    <w:rsid w:val="7D418291"/>
    <w:rsid w:val="7D4E966A"/>
    <w:rsid w:val="7D52F405"/>
    <w:rsid w:val="7D840203"/>
    <w:rsid w:val="7DD45B40"/>
    <w:rsid w:val="7E04656E"/>
    <w:rsid w:val="7E414A0C"/>
    <w:rsid w:val="7E7B6CAC"/>
    <w:rsid w:val="7E99B99E"/>
    <w:rsid w:val="7EBCD257"/>
    <w:rsid w:val="7EC8E838"/>
    <w:rsid w:val="7F027FC2"/>
    <w:rsid w:val="7F0BDA19"/>
    <w:rsid w:val="7F536A5C"/>
    <w:rsid w:val="7F8248BE"/>
    <w:rsid w:val="7FD4C197"/>
    <w:rsid w:val="7FDA6B18"/>
    <w:rsid w:val="7FFACC0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BF75F65"/>
  <w14:discardImageEditingData/>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1"/>
        <w:szCs w:val="21"/>
        <w:lang w:val="en-AU" w:eastAsia="en-US" w:bidi="ar-SA"/>
      </w:rPr>
    </w:rPrDefault>
    <w:pPrDefault>
      <w:pPr>
        <w:spacing w:after="200"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2" w:unhideWhenUsed="1"/>
    <w:lsdException w:name="heading 7" w:semiHidden="1" w:uiPriority="2" w:unhideWhenUsed="1"/>
    <w:lsdException w:name="heading 8" w:semiHidden="1" w:uiPriority="2" w:unhideWhenUsed="1" w:qFormat="1"/>
    <w:lsdException w:name="heading 9" w:semiHidden="1" w:uiPriority="2"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8"/>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9"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98"/>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6" w:qFormat="1"/>
    <w:lsdException w:name="Intense Quote" w:uiPriority="17"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semiHidden="1" w:uiPriority="33" w:unhideWhenUsed="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00 - BODY"/>
    <w:qFormat/>
    <w:rsid w:val="005A4960"/>
    <w:pPr>
      <w:spacing w:after="160" w:line="264" w:lineRule="auto"/>
    </w:pPr>
    <w:rPr>
      <w:sz w:val="24"/>
    </w:rPr>
  </w:style>
  <w:style w:type="paragraph" w:styleId="Heading1">
    <w:name w:val="heading 1"/>
    <w:aliases w:val="1H - Heading 1"/>
    <w:basedOn w:val="Normal"/>
    <w:next w:val="Normal"/>
    <w:link w:val="Heading1Char"/>
    <w:autoRedefine/>
    <w:uiPriority w:val="9"/>
    <w:qFormat/>
    <w:rsid w:val="005A4960"/>
    <w:pPr>
      <w:keepNext/>
      <w:keepLines/>
      <w:spacing w:after="120" w:line="240" w:lineRule="auto"/>
      <w:ind w:right="566"/>
      <w:outlineLvl w:val="0"/>
    </w:pPr>
    <w:rPr>
      <w:rFonts w:ascii="Segoe UI" w:eastAsiaTheme="majorEastAsia" w:hAnsi="Segoe UI" w:cstheme="majorBidi"/>
      <w:noProof/>
      <w:color w:val="092B57" w:themeColor="text1"/>
      <w:sz w:val="52"/>
      <w:szCs w:val="52"/>
    </w:rPr>
  </w:style>
  <w:style w:type="paragraph" w:styleId="Heading2">
    <w:name w:val="heading 2"/>
    <w:aliases w:val="2H - Heading 2"/>
    <w:basedOn w:val="Normal"/>
    <w:next w:val="Normal"/>
    <w:link w:val="Heading2Char"/>
    <w:uiPriority w:val="2"/>
    <w:qFormat/>
    <w:rsid w:val="005A4960"/>
    <w:pPr>
      <w:keepNext/>
      <w:keepLines/>
      <w:spacing w:before="240" w:line="240" w:lineRule="auto"/>
      <w:outlineLvl w:val="1"/>
    </w:pPr>
    <w:rPr>
      <w:rFonts w:ascii="Segoe UI" w:eastAsiaTheme="majorEastAsia" w:hAnsi="Segoe UI" w:cstheme="majorBidi"/>
      <w:color w:val="092B57" w:themeColor="text1"/>
      <w:sz w:val="44"/>
      <w:szCs w:val="44"/>
    </w:rPr>
  </w:style>
  <w:style w:type="paragraph" w:styleId="Heading3">
    <w:name w:val="heading 3"/>
    <w:aliases w:val="3H - Heading 3"/>
    <w:basedOn w:val="Heading4"/>
    <w:next w:val="Normal"/>
    <w:link w:val="Heading3Char"/>
    <w:uiPriority w:val="2"/>
    <w:qFormat/>
    <w:rsid w:val="00987367"/>
    <w:pPr>
      <w:outlineLvl w:val="2"/>
    </w:pPr>
    <w:rPr>
      <w:b/>
      <w:color w:val="0C3D7B" w:themeColor="text1" w:themeTint="E6"/>
      <w:sz w:val="36"/>
      <w:szCs w:val="36"/>
    </w:rPr>
  </w:style>
  <w:style w:type="paragraph" w:styleId="Heading4">
    <w:name w:val="heading 4"/>
    <w:aliases w:val="4H - Heading 4"/>
    <w:basedOn w:val="Normal"/>
    <w:next w:val="Normal"/>
    <w:link w:val="Heading4Char"/>
    <w:uiPriority w:val="2"/>
    <w:qFormat/>
    <w:rsid w:val="00987367"/>
    <w:pPr>
      <w:keepNext/>
      <w:keepLines/>
      <w:spacing w:before="240"/>
      <w:outlineLvl w:val="3"/>
    </w:pPr>
    <w:rPr>
      <w:rFonts w:eastAsiaTheme="majorEastAsia" w:cstheme="minorHAnsi"/>
      <w:color w:val="092B57" w:themeColor="text1"/>
      <w:sz w:val="32"/>
      <w:szCs w:val="32"/>
    </w:rPr>
  </w:style>
  <w:style w:type="paragraph" w:styleId="Heading5">
    <w:name w:val="heading 5"/>
    <w:aliases w:val="5H - Heading 5"/>
    <w:basedOn w:val="Normal"/>
    <w:next w:val="Normal"/>
    <w:link w:val="Heading5Char"/>
    <w:autoRedefine/>
    <w:uiPriority w:val="2"/>
    <w:unhideWhenUsed/>
    <w:qFormat/>
    <w:rsid w:val="004E5054"/>
    <w:pPr>
      <w:keepNext/>
      <w:keepLines/>
      <w:spacing w:before="240"/>
      <w:outlineLvl w:val="4"/>
    </w:pPr>
    <w:rPr>
      <w:rFonts w:eastAsiaTheme="majorEastAsia" w:cstheme="majorBidi"/>
      <w:b/>
      <w:iCs/>
      <w:color w:val="092B57" w:themeColor="text1"/>
      <w:sz w:val="28"/>
      <w:szCs w:val="22"/>
    </w:rPr>
  </w:style>
  <w:style w:type="paragraph" w:styleId="Heading6">
    <w:name w:val="heading 6"/>
    <w:aliases w:val="6H - Heading 6"/>
    <w:basedOn w:val="Normal"/>
    <w:next w:val="Normal"/>
    <w:link w:val="Heading6Char"/>
    <w:uiPriority w:val="2"/>
    <w:unhideWhenUsed/>
    <w:rsid w:val="004E5054"/>
    <w:pPr>
      <w:keepNext/>
      <w:keepLines/>
      <w:spacing w:before="240"/>
      <w:outlineLvl w:val="5"/>
    </w:pPr>
    <w:rPr>
      <w:rFonts w:ascii="Segoe UI" w:eastAsiaTheme="majorEastAsia" w:hAnsi="Segoe UI" w:cstheme="majorBidi"/>
      <w:b/>
      <w:color w:val="0C3D7B" w:themeColor="text1" w:themeTint="E6"/>
      <w:szCs w:val="24"/>
    </w:rPr>
  </w:style>
  <w:style w:type="paragraph" w:styleId="Heading7">
    <w:name w:val="heading 7"/>
    <w:aliases w:val="7H - Heading 7"/>
    <w:basedOn w:val="Normal"/>
    <w:next w:val="Normal"/>
    <w:link w:val="Heading7Char"/>
    <w:uiPriority w:val="2"/>
    <w:unhideWhenUsed/>
    <w:rsid w:val="004E5054"/>
    <w:pPr>
      <w:keepNext/>
      <w:keepLines/>
      <w:spacing w:before="240"/>
      <w:outlineLvl w:val="6"/>
    </w:pPr>
    <w:rPr>
      <w:rFonts w:ascii="Segoe UI" w:eastAsiaTheme="majorEastAsia" w:hAnsi="Segoe UI" w:cstheme="majorBidi"/>
      <w:bCs/>
      <w:color w:val="0C3D7B" w:themeColor="text1" w:themeTint="E6"/>
    </w:rPr>
  </w:style>
  <w:style w:type="paragraph" w:styleId="Heading8">
    <w:name w:val="heading 8"/>
    <w:aliases w:val="8H - Heading 8"/>
    <w:basedOn w:val="Normal"/>
    <w:next w:val="Normal"/>
    <w:link w:val="Heading8Char"/>
    <w:uiPriority w:val="2"/>
    <w:unhideWhenUsed/>
    <w:qFormat/>
    <w:rsid w:val="004E5054"/>
    <w:pPr>
      <w:keepNext/>
      <w:keepLines/>
      <w:spacing w:before="240"/>
      <w:outlineLvl w:val="7"/>
    </w:pPr>
    <w:rPr>
      <w:rFonts w:ascii="Segoe UI" w:eastAsiaTheme="majorEastAsia" w:hAnsi="Segoe UI" w:cstheme="majorBidi"/>
      <w:bCs/>
      <w:i/>
      <w:iCs/>
      <w:color w:val="0C3D7B" w:themeColor="text1" w:themeTint="E6"/>
      <w:szCs w:val="20"/>
    </w:rPr>
  </w:style>
  <w:style w:type="paragraph" w:styleId="Heading9">
    <w:name w:val="heading 9"/>
    <w:basedOn w:val="Normal"/>
    <w:next w:val="Normal"/>
    <w:link w:val="Heading9Char"/>
    <w:uiPriority w:val="2"/>
    <w:unhideWhenUsed/>
    <w:rsid w:val="007D256E"/>
    <w:pPr>
      <w:keepNext/>
      <w:keepLines/>
      <w:spacing w:before="240"/>
      <w:outlineLvl w:val="8"/>
    </w:pPr>
    <w:rPr>
      <w:rFonts w:ascii="Segoe UI" w:eastAsiaTheme="majorEastAsia" w:hAnsi="Segoe UI" w:cstheme="majorBidi"/>
      <w:i/>
      <w:iCs/>
      <w:color w:val="0C3D7B" w:themeColor="text1" w:themeTint="E6"/>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1H - Heading 1 Char"/>
    <w:basedOn w:val="DefaultParagraphFont"/>
    <w:link w:val="Heading1"/>
    <w:uiPriority w:val="9"/>
    <w:rsid w:val="005A4960"/>
    <w:rPr>
      <w:rFonts w:ascii="Segoe UI" w:eastAsiaTheme="majorEastAsia" w:hAnsi="Segoe UI" w:cstheme="majorBidi"/>
      <w:noProof/>
      <w:color w:val="092B57" w:themeColor="text1"/>
      <w:sz w:val="52"/>
      <w:szCs w:val="52"/>
    </w:rPr>
  </w:style>
  <w:style w:type="paragraph" w:styleId="Title">
    <w:name w:val="Title"/>
    <w:basedOn w:val="Normal"/>
    <w:next w:val="Normal"/>
    <w:link w:val="TitleChar"/>
    <w:uiPriority w:val="18"/>
    <w:rsid w:val="00844D48"/>
    <w:pPr>
      <w:spacing w:after="240" w:line="240" w:lineRule="auto"/>
      <w:contextualSpacing/>
    </w:pPr>
    <w:rPr>
      <w:rFonts w:ascii="Segoe UI" w:eastAsiaTheme="majorEastAsia" w:hAnsi="Segoe UI" w:cstheme="majorBidi"/>
      <w:color w:val="092B57" w:themeColor="text1"/>
      <w:spacing w:val="-15"/>
      <w:sz w:val="56"/>
      <w:szCs w:val="96"/>
      <w:shd w:val="clear" w:color="auto" w:fill="F5A37D" w:themeFill="background2"/>
    </w:rPr>
  </w:style>
  <w:style w:type="character" w:customStyle="1" w:styleId="TitleChar">
    <w:name w:val="Title Char"/>
    <w:basedOn w:val="DefaultParagraphFont"/>
    <w:link w:val="Title"/>
    <w:uiPriority w:val="18"/>
    <w:rsid w:val="00844D48"/>
    <w:rPr>
      <w:rFonts w:ascii="Segoe UI" w:eastAsiaTheme="majorEastAsia" w:hAnsi="Segoe UI" w:cstheme="majorBidi"/>
      <w:color w:val="092B57" w:themeColor="text1"/>
      <w:spacing w:val="-15"/>
      <w:sz w:val="56"/>
      <w:szCs w:val="96"/>
    </w:rPr>
  </w:style>
  <w:style w:type="character" w:customStyle="1" w:styleId="Heading2Char">
    <w:name w:val="Heading 2 Char"/>
    <w:aliases w:val="2H - Heading 2 Char"/>
    <w:basedOn w:val="DefaultParagraphFont"/>
    <w:link w:val="Heading2"/>
    <w:uiPriority w:val="2"/>
    <w:rsid w:val="005A4960"/>
    <w:rPr>
      <w:rFonts w:ascii="Segoe UI" w:eastAsiaTheme="majorEastAsia" w:hAnsi="Segoe UI" w:cstheme="majorBidi"/>
      <w:color w:val="092B57" w:themeColor="text1"/>
      <w:sz w:val="44"/>
      <w:szCs w:val="44"/>
    </w:rPr>
  </w:style>
  <w:style w:type="character" w:customStyle="1" w:styleId="Heading3Char">
    <w:name w:val="Heading 3 Char"/>
    <w:aliases w:val="3H - Heading 3 Char"/>
    <w:basedOn w:val="DefaultParagraphFont"/>
    <w:link w:val="Heading3"/>
    <w:uiPriority w:val="2"/>
    <w:rsid w:val="00987367"/>
    <w:rPr>
      <w:rFonts w:eastAsiaTheme="majorEastAsia" w:cstheme="minorHAnsi"/>
      <w:b/>
      <w:color w:val="0C3D7B" w:themeColor="text1" w:themeTint="E6"/>
      <w:sz w:val="36"/>
      <w:szCs w:val="36"/>
    </w:rPr>
  </w:style>
  <w:style w:type="character" w:customStyle="1" w:styleId="Heading4Char">
    <w:name w:val="Heading 4 Char"/>
    <w:aliases w:val="4H - Heading 4 Char"/>
    <w:basedOn w:val="DefaultParagraphFont"/>
    <w:link w:val="Heading4"/>
    <w:uiPriority w:val="2"/>
    <w:rsid w:val="00987367"/>
    <w:rPr>
      <w:rFonts w:eastAsiaTheme="majorEastAsia" w:cstheme="minorHAnsi"/>
      <w:color w:val="092B57" w:themeColor="text1"/>
      <w:sz w:val="32"/>
      <w:szCs w:val="32"/>
    </w:rPr>
  </w:style>
  <w:style w:type="character" w:customStyle="1" w:styleId="Heading5Char">
    <w:name w:val="Heading 5 Char"/>
    <w:aliases w:val="5H - Heading 5 Char"/>
    <w:basedOn w:val="DefaultParagraphFont"/>
    <w:link w:val="Heading5"/>
    <w:uiPriority w:val="2"/>
    <w:rsid w:val="004E5054"/>
    <w:rPr>
      <w:rFonts w:eastAsiaTheme="majorEastAsia" w:cstheme="majorBidi"/>
      <w:b/>
      <w:iCs/>
      <w:color w:val="092B57" w:themeColor="text1"/>
      <w:sz w:val="28"/>
      <w:szCs w:val="22"/>
    </w:rPr>
  </w:style>
  <w:style w:type="character" w:customStyle="1" w:styleId="Heading6Char">
    <w:name w:val="Heading 6 Char"/>
    <w:aliases w:val="6H - Heading 6 Char"/>
    <w:basedOn w:val="DefaultParagraphFont"/>
    <w:link w:val="Heading6"/>
    <w:uiPriority w:val="2"/>
    <w:rsid w:val="004E5054"/>
    <w:rPr>
      <w:rFonts w:ascii="Segoe UI" w:eastAsiaTheme="majorEastAsia" w:hAnsi="Segoe UI" w:cstheme="majorBidi"/>
      <w:b/>
      <w:color w:val="0C3D7B" w:themeColor="text1" w:themeTint="E6"/>
      <w:sz w:val="24"/>
      <w:szCs w:val="24"/>
    </w:rPr>
  </w:style>
  <w:style w:type="character" w:customStyle="1" w:styleId="Heading7Char">
    <w:name w:val="Heading 7 Char"/>
    <w:aliases w:val="7H - Heading 7 Char"/>
    <w:basedOn w:val="DefaultParagraphFont"/>
    <w:link w:val="Heading7"/>
    <w:uiPriority w:val="2"/>
    <w:rsid w:val="004E5054"/>
    <w:rPr>
      <w:rFonts w:ascii="Segoe UI" w:eastAsiaTheme="majorEastAsia" w:hAnsi="Segoe UI" w:cstheme="majorBidi"/>
      <w:bCs/>
      <w:color w:val="0C3D7B" w:themeColor="text1" w:themeTint="E6"/>
      <w:sz w:val="24"/>
    </w:rPr>
  </w:style>
  <w:style w:type="character" w:customStyle="1" w:styleId="Heading8Char">
    <w:name w:val="Heading 8 Char"/>
    <w:aliases w:val="8H - Heading 8 Char"/>
    <w:basedOn w:val="DefaultParagraphFont"/>
    <w:link w:val="Heading8"/>
    <w:uiPriority w:val="2"/>
    <w:rsid w:val="004E5054"/>
    <w:rPr>
      <w:rFonts w:ascii="Segoe UI" w:eastAsiaTheme="majorEastAsia" w:hAnsi="Segoe UI" w:cstheme="majorBidi"/>
      <w:bCs/>
      <w:i/>
      <w:iCs/>
      <w:color w:val="0C3D7B" w:themeColor="text1" w:themeTint="E6"/>
      <w:sz w:val="24"/>
      <w:szCs w:val="20"/>
    </w:rPr>
  </w:style>
  <w:style w:type="character" w:customStyle="1" w:styleId="Heading9Char">
    <w:name w:val="Heading 9 Char"/>
    <w:basedOn w:val="DefaultParagraphFont"/>
    <w:link w:val="Heading9"/>
    <w:uiPriority w:val="2"/>
    <w:rsid w:val="007D256E"/>
    <w:rPr>
      <w:rFonts w:ascii="Segoe UI" w:eastAsiaTheme="majorEastAsia" w:hAnsi="Segoe UI" w:cstheme="majorBidi"/>
      <w:i/>
      <w:iCs/>
      <w:color w:val="0C3D7B" w:themeColor="text1" w:themeTint="E6"/>
      <w:sz w:val="24"/>
      <w:szCs w:val="20"/>
    </w:rPr>
  </w:style>
  <w:style w:type="paragraph" w:styleId="Subtitle">
    <w:name w:val="Subtitle"/>
    <w:aliases w:val="COVER subtitle"/>
    <w:basedOn w:val="Normal"/>
    <w:next w:val="Normal"/>
    <w:link w:val="SubtitleChar"/>
    <w:autoRedefine/>
    <w:uiPriority w:val="19"/>
    <w:qFormat/>
    <w:rsid w:val="005A4960"/>
    <w:pPr>
      <w:numPr>
        <w:ilvl w:val="1"/>
      </w:numPr>
      <w:spacing w:line="240" w:lineRule="auto"/>
      <w:ind w:left="2977" w:right="1416"/>
    </w:pPr>
    <w:rPr>
      <w:rFonts w:eastAsiaTheme="majorEastAsia" w:cstheme="minorHAnsi"/>
      <w:noProof/>
      <w:color w:val="FFFFFF" w:themeColor="background1"/>
      <w:sz w:val="32"/>
      <w:szCs w:val="30"/>
    </w:rPr>
  </w:style>
  <w:style w:type="character" w:customStyle="1" w:styleId="SubtitleChar">
    <w:name w:val="Subtitle Char"/>
    <w:aliases w:val="COVER subtitle Char"/>
    <w:basedOn w:val="DefaultParagraphFont"/>
    <w:link w:val="Subtitle"/>
    <w:uiPriority w:val="19"/>
    <w:rsid w:val="005A4960"/>
    <w:rPr>
      <w:rFonts w:eastAsiaTheme="majorEastAsia" w:cstheme="minorHAnsi"/>
      <w:noProof/>
      <w:color w:val="FFFFFF" w:themeColor="background1"/>
      <w:sz w:val="32"/>
      <w:szCs w:val="30"/>
    </w:rPr>
  </w:style>
  <w:style w:type="paragraph" w:styleId="NoSpacing">
    <w:name w:val="No Spacing"/>
    <w:uiPriority w:val="98"/>
    <w:unhideWhenUsed/>
    <w:rsid w:val="00D525B8"/>
    <w:pPr>
      <w:spacing w:after="0" w:line="240" w:lineRule="auto"/>
    </w:pPr>
  </w:style>
  <w:style w:type="paragraph" w:styleId="Caption">
    <w:name w:val="caption"/>
    <w:basedOn w:val="Normal"/>
    <w:next w:val="Normal"/>
    <w:uiPriority w:val="35"/>
    <w:unhideWhenUsed/>
    <w:qFormat/>
    <w:rsid w:val="00D525B8"/>
    <w:pPr>
      <w:spacing w:line="240" w:lineRule="auto"/>
    </w:pPr>
    <w:rPr>
      <w:b/>
      <w:bCs/>
      <w:smallCaps/>
      <w:color w:val="166BD9" w:themeColor="text1" w:themeTint="A6"/>
    </w:rPr>
  </w:style>
  <w:style w:type="character" w:styleId="Strong">
    <w:name w:val="Strong"/>
    <w:basedOn w:val="DefaultParagraphFont"/>
    <w:uiPriority w:val="22"/>
    <w:unhideWhenUsed/>
    <w:qFormat/>
    <w:rsid w:val="00D525B8"/>
    <w:rPr>
      <w:b/>
      <w:bCs/>
    </w:rPr>
  </w:style>
  <w:style w:type="character" w:styleId="Emphasis">
    <w:name w:val="Emphasis"/>
    <w:basedOn w:val="DefaultParagraphFont"/>
    <w:uiPriority w:val="20"/>
    <w:unhideWhenUsed/>
    <w:qFormat/>
    <w:rsid w:val="005C0F15"/>
    <w:rPr>
      <w:i/>
      <w:iCs/>
      <w:color w:val="auto"/>
    </w:rPr>
  </w:style>
  <w:style w:type="paragraph" w:styleId="Quote">
    <w:name w:val="Quote"/>
    <w:basedOn w:val="Normal"/>
    <w:next w:val="Normal"/>
    <w:link w:val="QuoteChar"/>
    <w:uiPriority w:val="16"/>
    <w:qFormat/>
    <w:rsid w:val="005468A2"/>
    <w:pPr>
      <w:spacing w:before="240"/>
      <w:ind w:left="720" w:right="720"/>
    </w:pPr>
    <w:rPr>
      <w:i/>
      <w:iCs/>
      <w:color w:val="092B57" w:themeColor="text1"/>
    </w:rPr>
  </w:style>
  <w:style w:type="character" w:customStyle="1" w:styleId="QuoteChar">
    <w:name w:val="Quote Char"/>
    <w:basedOn w:val="DefaultParagraphFont"/>
    <w:link w:val="Quote"/>
    <w:uiPriority w:val="16"/>
    <w:rsid w:val="005468A2"/>
    <w:rPr>
      <w:i/>
      <w:iCs/>
      <w:color w:val="092B57" w:themeColor="text1"/>
      <w:sz w:val="24"/>
    </w:rPr>
  </w:style>
  <w:style w:type="paragraph" w:styleId="IntenseQuote">
    <w:name w:val="Intense Quote"/>
    <w:basedOn w:val="Normal"/>
    <w:next w:val="Normal"/>
    <w:link w:val="IntenseQuoteChar"/>
    <w:uiPriority w:val="17"/>
    <w:qFormat/>
    <w:rsid w:val="005468A2"/>
    <w:pPr>
      <w:spacing w:before="120"/>
      <w:ind w:left="720" w:right="720"/>
    </w:pPr>
    <w:rPr>
      <w:rFonts w:ascii="Segoe UI" w:eastAsiaTheme="majorEastAsia" w:hAnsi="Segoe UI" w:cstheme="majorBidi"/>
      <w:iCs/>
      <w:color w:val="092B57" w:themeColor="text1"/>
      <w:sz w:val="32"/>
      <w:szCs w:val="32"/>
    </w:rPr>
  </w:style>
  <w:style w:type="character" w:customStyle="1" w:styleId="IntenseQuoteChar">
    <w:name w:val="Intense Quote Char"/>
    <w:basedOn w:val="DefaultParagraphFont"/>
    <w:link w:val="IntenseQuote"/>
    <w:uiPriority w:val="17"/>
    <w:rsid w:val="005468A2"/>
    <w:rPr>
      <w:rFonts w:ascii="Segoe UI" w:eastAsiaTheme="majorEastAsia" w:hAnsi="Segoe UI" w:cstheme="majorBidi"/>
      <w:iCs/>
      <w:color w:val="092B57" w:themeColor="text1"/>
      <w:sz w:val="32"/>
      <w:szCs w:val="32"/>
    </w:rPr>
  </w:style>
  <w:style w:type="character" w:styleId="SubtleEmphasis">
    <w:name w:val="Subtle Emphasis"/>
    <w:basedOn w:val="DefaultParagraphFont"/>
    <w:uiPriority w:val="19"/>
    <w:unhideWhenUsed/>
    <w:rsid w:val="00D525B8"/>
    <w:rPr>
      <w:i/>
      <w:iCs/>
    </w:rPr>
  </w:style>
  <w:style w:type="character" w:styleId="IntenseEmphasis">
    <w:name w:val="Intense Emphasis"/>
    <w:basedOn w:val="DefaultParagraphFont"/>
    <w:uiPriority w:val="21"/>
    <w:unhideWhenUsed/>
    <w:rsid w:val="00D525B8"/>
    <w:rPr>
      <w:b/>
      <w:bCs/>
      <w:i/>
      <w:iCs/>
    </w:rPr>
  </w:style>
  <w:style w:type="character" w:styleId="SubtleReference">
    <w:name w:val="Subtle Reference"/>
    <w:basedOn w:val="DefaultParagraphFont"/>
    <w:uiPriority w:val="31"/>
    <w:unhideWhenUsed/>
    <w:rsid w:val="00CE04A1"/>
    <w:rPr>
      <w:rFonts w:ascii="Segoe UI" w:hAnsi="Segoe UI"/>
      <w:smallCaps/>
      <w:color w:val="092B57" w:themeColor="text1"/>
      <w:sz w:val="28"/>
    </w:rPr>
  </w:style>
  <w:style w:type="character" w:styleId="IntenseReference">
    <w:name w:val="Intense Reference"/>
    <w:basedOn w:val="DefaultParagraphFont"/>
    <w:uiPriority w:val="32"/>
    <w:unhideWhenUsed/>
    <w:rsid w:val="00CE04A1"/>
    <w:rPr>
      <w:b/>
      <w:bCs/>
      <w:smallCaps/>
      <w:color w:val="092B57" w:themeColor="text1"/>
    </w:rPr>
  </w:style>
  <w:style w:type="paragraph" w:styleId="TOCHeading">
    <w:name w:val="TOC Heading"/>
    <w:basedOn w:val="Heading1"/>
    <w:next w:val="Normal"/>
    <w:uiPriority w:val="39"/>
    <w:unhideWhenUsed/>
    <w:qFormat/>
    <w:rsid w:val="007D256E"/>
    <w:pPr>
      <w:outlineLvl w:val="9"/>
    </w:pPr>
  </w:style>
  <w:style w:type="paragraph" w:styleId="Header">
    <w:name w:val="header"/>
    <w:basedOn w:val="Normal"/>
    <w:link w:val="HeaderChar"/>
    <w:uiPriority w:val="99"/>
    <w:unhideWhenUsed/>
    <w:rsid w:val="00F957C6"/>
    <w:pPr>
      <w:tabs>
        <w:tab w:val="center" w:pos="4513"/>
        <w:tab w:val="right" w:pos="9026"/>
      </w:tabs>
      <w:spacing w:after="0" w:line="240" w:lineRule="auto"/>
    </w:pPr>
  </w:style>
  <w:style w:type="character" w:customStyle="1" w:styleId="HeaderChar">
    <w:name w:val="Header Char"/>
    <w:basedOn w:val="DefaultParagraphFont"/>
    <w:link w:val="Header"/>
    <w:uiPriority w:val="99"/>
    <w:rsid w:val="00F957C6"/>
  </w:style>
  <w:style w:type="paragraph" w:styleId="Footer">
    <w:name w:val="footer"/>
    <w:basedOn w:val="Normal"/>
    <w:link w:val="FooterChar"/>
    <w:uiPriority w:val="99"/>
    <w:unhideWhenUsed/>
    <w:rsid w:val="00F957C6"/>
    <w:pPr>
      <w:tabs>
        <w:tab w:val="center" w:pos="4513"/>
        <w:tab w:val="right" w:pos="9026"/>
      </w:tabs>
      <w:spacing w:after="0" w:line="240" w:lineRule="auto"/>
    </w:pPr>
  </w:style>
  <w:style w:type="character" w:customStyle="1" w:styleId="FooterChar">
    <w:name w:val="Footer Char"/>
    <w:basedOn w:val="DefaultParagraphFont"/>
    <w:link w:val="Footer"/>
    <w:uiPriority w:val="99"/>
    <w:rsid w:val="00F957C6"/>
  </w:style>
  <w:style w:type="character" w:styleId="PlaceholderText">
    <w:name w:val="Placeholder Text"/>
    <w:basedOn w:val="DefaultParagraphFont"/>
    <w:uiPriority w:val="99"/>
    <w:semiHidden/>
    <w:rsid w:val="005226B9"/>
    <w:rPr>
      <w:color w:val="808080"/>
    </w:rPr>
  </w:style>
  <w:style w:type="paragraph" w:styleId="BalloonText">
    <w:name w:val="Balloon Text"/>
    <w:basedOn w:val="Normal"/>
    <w:link w:val="BalloonTextChar"/>
    <w:uiPriority w:val="99"/>
    <w:semiHidden/>
    <w:unhideWhenUsed/>
    <w:rsid w:val="005226B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226B9"/>
    <w:rPr>
      <w:rFonts w:ascii="Segoe UI" w:hAnsi="Segoe UI" w:cs="Segoe UI"/>
      <w:sz w:val="18"/>
      <w:szCs w:val="18"/>
    </w:rPr>
  </w:style>
  <w:style w:type="paragraph" w:customStyle="1" w:styleId="CLASSIFICATION">
    <w:name w:val="CLASSIFICATION"/>
    <w:basedOn w:val="Normal"/>
    <w:link w:val="CLASSIFICATIONChar"/>
    <w:autoRedefine/>
    <w:uiPriority w:val="99"/>
    <w:unhideWhenUsed/>
    <w:rsid w:val="00F86700"/>
    <w:pPr>
      <w:jc w:val="center"/>
    </w:pPr>
    <w:rPr>
      <w:rFonts w:ascii="Segoe UI" w:hAnsi="Segoe UI"/>
      <w:caps/>
      <w:color w:val="C00000"/>
      <w:sz w:val="18"/>
    </w:rPr>
  </w:style>
  <w:style w:type="paragraph" w:customStyle="1" w:styleId="B1-Heading1">
    <w:name w:val="B1 - Heading 1"/>
    <w:basedOn w:val="B1-Body"/>
    <w:next w:val="B1-Body"/>
    <w:link w:val="B1-Heading1Char"/>
    <w:uiPriority w:val="6"/>
    <w:qFormat/>
    <w:rsid w:val="007A5115"/>
    <w:pPr>
      <w:spacing w:line="240" w:lineRule="auto"/>
      <w:outlineLvl w:val="1"/>
    </w:pPr>
    <w:rPr>
      <w:b/>
      <w:color w:val="0C3D7B" w:themeColor="text1" w:themeTint="E6"/>
      <w:sz w:val="32"/>
      <w:szCs w:val="32"/>
    </w:rPr>
  </w:style>
  <w:style w:type="character" w:customStyle="1" w:styleId="CLASSIFICATIONChar">
    <w:name w:val="CLASSIFICATION Char"/>
    <w:basedOn w:val="DefaultParagraphFont"/>
    <w:link w:val="CLASSIFICATION"/>
    <w:uiPriority w:val="99"/>
    <w:rsid w:val="00F86700"/>
    <w:rPr>
      <w:rFonts w:ascii="Segoe UI" w:hAnsi="Segoe UI"/>
      <w:caps/>
      <w:color w:val="C00000"/>
      <w:sz w:val="18"/>
    </w:rPr>
  </w:style>
  <w:style w:type="paragraph" w:customStyle="1" w:styleId="B1-Body">
    <w:name w:val="B1 - Body"/>
    <w:basedOn w:val="Normal"/>
    <w:link w:val="B1-BodyChar"/>
    <w:uiPriority w:val="4"/>
    <w:qFormat/>
    <w:rsid w:val="009D296A"/>
    <w:pPr>
      <w:pBdr>
        <w:top w:val="single" w:sz="48" w:space="1" w:color="EEEDF6" w:themeColor="accent1" w:themeTint="33"/>
        <w:left w:val="single" w:sz="48" w:space="4" w:color="EEEDF6" w:themeColor="accent1" w:themeTint="33"/>
        <w:bottom w:val="single" w:sz="48" w:space="1" w:color="EEEDF6" w:themeColor="accent1" w:themeTint="33"/>
        <w:right w:val="single" w:sz="48" w:space="4" w:color="EEEDF6" w:themeColor="accent1" w:themeTint="33"/>
      </w:pBdr>
      <w:shd w:val="clear" w:color="auto" w:fill="EEEDF6" w:themeFill="accent1" w:themeFillTint="33"/>
      <w:tabs>
        <w:tab w:val="left" w:pos="3300"/>
      </w:tabs>
      <w:spacing w:after="120"/>
      <w:ind w:left="227" w:right="227"/>
    </w:pPr>
    <w:rPr>
      <w:rFonts w:eastAsia="Times New Roman"/>
      <w:color w:val="092B57" w:themeColor="accent6"/>
      <w:sz w:val="20"/>
      <w:szCs w:val="20"/>
      <w:lang w:val="en-US"/>
    </w:rPr>
  </w:style>
  <w:style w:type="paragraph" w:customStyle="1" w:styleId="B1-Listbullets">
    <w:name w:val="B1 - List bullets"/>
    <w:basedOn w:val="B1-Body"/>
    <w:uiPriority w:val="5"/>
    <w:qFormat/>
    <w:rsid w:val="002D26D4"/>
    <w:pPr>
      <w:numPr>
        <w:numId w:val="2"/>
      </w:numPr>
      <w:ind w:left="511"/>
    </w:pPr>
  </w:style>
  <w:style w:type="table" w:styleId="TableGrid">
    <w:name w:val="Table Grid"/>
    <w:basedOn w:val="TableNormal"/>
    <w:uiPriority w:val="39"/>
    <w:rsid w:val="00BD57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4-Accent1">
    <w:name w:val="List Table 4 Accent 1"/>
    <w:basedOn w:val="TableNormal"/>
    <w:uiPriority w:val="49"/>
    <w:rsid w:val="00BD57F5"/>
    <w:pPr>
      <w:spacing w:after="0" w:line="240" w:lineRule="auto"/>
    </w:pPr>
    <w:tblPr>
      <w:tblStyleRowBandSize w:val="1"/>
      <w:tblStyleColBandSize w:val="1"/>
      <w:tblBorders>
        <w:top w:val="single" w:sz="4" w:space="0" w:color="CECAE4" w:themeColor="accent1" w:themeTint="99"/>
        <w:left w:val="single" w:sz="4" w:space="0" w:color="CECAE4" w:themeColor="accent1" w:themeTint="99"/>
        <w:bottom w:val="single" w:sz="4" w:space="0" w:color="CECAE4" w:themeColor="accent1" w:themeTint="99"/>
        <w:right w:val="single" w:sz="4" w:space="0" w:color="CECAE4" w:themeColor="accent1" w:themeTint="99"/>
        <w:insideH w:val="single" w:sz="4" w:space="0" w:color="CECAE4" w:themeColor="accent1" w:themeTint="99"/>
      </w:tblBorders>
    </w:tblPr>
    <w:tblStylePr w:type="firstRow">
      <w:rPr>
        <w:b/>
        <w:bCs/>
        <w:color w:val="FFFFFF" w:themeColor="background1"/>
      </w:rPr>
      <w:tblPr/>
      <w:tcPr>
        <w:tcBorders>
          <w:top w:val="single" w:sz="4" w:space="0" w:color="AEA8D3" w:themeColor="accent1"/>
          <w:left w:val="single" w:sz="4" w:space="0" w:color="AEA8D3" w:themeColor="accent1"/>
          <w:bottom w:val="single" w:sz="4" w:space="0" w:color="AEA8D3" w:themeColor="accent1"/>
          <w:right w:val="single" w:sz="4" w:space="0" w:color="AEA8D3" w:themeColor="accent1"/>
          <w:insideH w:val="nil"/>
        </w:tcBorders>
        <w:shd w:val="clear" w:color="auto" w:fill="AEA8D3" w:themeFill="accent1"/>
      </w:tcPr>
    </w:tblStylePr>
    <w:tblStylePr w:type="lastRow">
      <w:rPr>
        <w:b/>
        <w:bCs/>
      </w:rPr>
      <w:tblPr/>
      <w:tcPr>
        <w:tcBorders>
          <w:top w:val="double" w:sz="4" w:space="0" w:color="CECAE4" w:themeColor="accent1" w:themeTint="99"/>
        </w:tcBorders>
      </w:tcPr>
    </w:tblStylePr>
    <w:tblStylePr w:type="firstCol">
      <w:rPr>
        <w:b/>
        <w:bCs/>
      </w:rPr>
    </w:tblStylePr>
    <w:tblStylePr w:type="lastCol">
      <w:rPr>
        <w:b/>
        <w:bCs/>
      </w:rPr>
    </w:tblStylePr>
    <w:tblStylePr w:type="band1Vert">
      <w:tblPr/>
      <w:tcPr>
        <w:shd w:val="clear" w:color="auto" w:fill="EEEDF6" w:themeFill="accent1" w:themeFillTint="33"/>
      </w:tcPr>
    </w:tblStylePr>
    <w:tblStylePr w:type="band1Horz">
      <w:tblPr/>
      <w:tcPr>
        <w:shd w:val="clear" w:color="auto" w:fill="EEEDF6" w:themeFill="accent1" w:themeFillTint="33"/>
      </w:tcPr>
    </w:tblStylePr>
  </w:style>
  <w:style w:type="paragraph" w:customStyle="1" w:styleId="Figure">
    <w:name w:val="Figure"/>
    <w:basedOn w:val="Normal"/>
    <w:uiPriority w:val="2"/>
    <w:qFormat/>
    <w:rsid w:val="00C53CA3"/>
    <w:pPr>
      <w:numPr>
        <w:numId w:val="7"/>
      </w:numPr>
      <w:spacing w:before="240"/>
      <w:ind w:left="993" w:hanging="993"/>
    </w:pPr>
    <w:rPr>
      <w:rFonts w:ascii="Segoe UI" w:hAnsi="Segoe UI" w:cs="Segoe UI"/>
      <w:color w:val="092B57" w:themeColor="text1"/>
    </w:rPr>
  </w:style>
  <w:style w:type="paragraph" w:customStyle="1" w:styleId="TBLHeading">
    <w:name w:val="TBL Heading"/>
    <w:basedOn w:val="Normal"/>
    <w:autoRedefine/>
    <w:uiPriority w:val="11"/>
    <w:qFormat/>
    <w:rsid w:val="007D256E"/>
    <w:pPr>
      <w:spacing w:after="0" w:line="240" w:lineRule="auto"/>
    </w:pPr>
    <w:rPr>
      <w:rFonts w:ascii="Segoe UI" w:hAnsi="Segoe UI" w:cs="Segoe UI"/>
      <w:sz w:val="28"/>
    </w:rPr>
  </w:style>
  <w:style w:type="paragraph" w:customStyle="1" w:styleId="TBLText">
    <w:name w:val="TBL Text"/>
    <w:basedOn w:val="Normal"/>
    <w:uiPriority w:val="9"/>
    <w:qFormat/>
    <w:rsid w:val="00996E13"/>
    <w:pPr>
      <w:spacing w:after="0" w:line="240" w:lineRule="auto"/>
    </w:pPr>
    <w:rPr>
      <w:szCs w:val="18"/>
    </w:rPr>
  </w:style>
  <w:style w:type="paragraph" w:customStyle="1" w:styleId="TBLBulletedList">
    <w:name w:val="TBL Bulleted List"/>
    <w:basedOn w:val="TBLText"/>
    <w:uiPriority w:val="10"/>
    <w:qFormat/>
    <w:rsid w:val="001B2D56"/>
    <w:pPr>
      <w:numPr>
        <w:numId w:val="3"/>
      </w:numPr>
      <w:ind w:left="206" w:hanging="206"/>
    </w:pPr>
  </w:style>
  <w:style w:type="paragraph" w:customStyle="1" w:styleId="TBLNumberedList">
    <w:name w:val="TBL Numbered List"/>
    <w:basedOn w:val="TBLText"/>
    <w:uiPriority w:val="10"/>
    <w:qFormat/>
    <w:rsid w:val="00E05FA4"/>
    <w:pPr>
      <w:numPr>
        <w:numId w:val="4"/>
      </w:numPr>
      <w:ind w:left="270" w:hanging="270"/>
    </w:pPr>
  </w:style>
  <w:style w:type="paragraph" w:customStyle="1" w:styleId="B1-Heading2">
    <w:name w:val="B1 - Heading 2"/>
    <w:basedOn w:val="B1-Heading1"/>
    <w:next w:val="B1-Body"/>
    <w:uiPriority w:val="6"/>
    <w:qFormat/>
    <w:rsid w:val="00D82172"/>
    <w:pPr>
      <w:spacing w:after="80"/>
      <w:outlineLvl w:val="2"/>
    </w:pPr>
    <w:rPr>
      <w:b w:val="0"/>
    </w:rPr>
  </w:style>
  <w:style w:type="paragraph" w:styleId="ListParagraph">
    <w:name w:val="List Paragraph"/>
    <w:aliases w:val="Recommendation,List Paragraph1,List Paragraph11,L,Bullet point,List Paragraph111,F5 List Paragraph,Dot pt,CV text,Table text,Medium Grid 1 - Accent 21,Numbered Paragraph,List Paragraph2,NFP GP Bulleted List,FooterText,numbered,列出段,0Bullet"/>
    <w:basedOn w:val="Normal"/>
    <w:link w:val="ListParagraphChar"/>
    <w:uiPriority w:val="34"/>
    <w:unhideWhenUsed/>
    <w:qFormat/>
    <w:rsid w:val="00BC41FA"/>
    <w:pPr>
      <w:spacing w:after="80"/>
      <w:ind w:left="720"/>
      <w:contextualSpacing/>
    </w:pPr>
    <w:rPr>
      <w:sz w:val="20"/>
    </w:rPr>
  </w:style>
  <w:style w:type="paragraph" w:customStyle="1" w:styleId="Listbullets-Level1">
    <w:name w:val="List bullets - Level 1"/>
    <w:basedOn w:val="ListParagraph"/>
    <w:uiPriority w:val="1"/>
    <w:qFormat/>
    <w:rsid w:val="002D26D4"/>
    <w:pPr>
      <w:numPr>
        <w:numId w:val="5"/>
      </w:numPr>
    </w:pPr>
    <w:rPr>
      <w:sz w:val="24"/>
    </w:rPr>
  </w:style>
  <w:style w:type="paragraph" w:customStyle="1" w:styleId="Listbullets-Level2">
    <w:name w:val="List bullets - Level 2"/>
    <w:basedOn w:val="Listbullets-Level1"/>
    <w:uiPriority w:val="1"/>
    <w:qFormat/>
    <w:rsid w:val="00BD171D"/>
    <w:pPr>
      <w:numPr>
        <w:numId w:val="10"/>
      </w:numPr>
    </w:pPr>
  </w:style>
  <w:style w:type="paragraph" w:customStyle="1" w:styleId="Listbullets-Level3">
    <w:name w:val="List bullets - Level 3"/>
    <w:basedOn w:val="ListParagraph"/>
    <w:uiPriority w:val="1"/>
    <w:qFormat/>
    <w:rsid w:val="00BD171D"/>
    <w:pPr>
      <w:numPr>
        <w:numId w:val="11"/>
      </w:numPr>
      <w:ind w:left="1135" w:hanging="284"/>
    </w:pPr>
  </w:style>
  <w:style w:type="paragraph" w:customStyle="1" w:styleId="Listnumbers-Level1">
    <w:name w:val="List numbers - Level 1"/>
    <w:basedOn w:val="ListParagraph"/>
    <w:uiPriority w:val="1"/>
    <w:qFormat/>
    <w:rsid w:val="00BD171D"/>
    <w:pPr>
      <w:numPr>
        <w:numId w:val="6"/>
      </w:numPr>
    </w:pPr>
  </w:style>
  <w:style w:type="paragraph" w:customStyle="1" w:styleId="Listnumbers-level2">
    <w:name w:val="List numbers - level 2"/>
    <w:basedOn w:val="ListParagraph"/>
    <w:uiPriority w:val="1"/>
    <w:qFormat/>
    <w:rsid w:val="00BD171D"/>
    <w:pPr>
      <w:numPr>
        <w:ilvl w:val="1"/>
        <w:numId w:val="6"/>
      </w:numPr>
    </w:pPr>
  </w:style>
  <w:style w:type="paragraph" w:customStyle="1" w:styleId="Listnumbers-Level3">
    <w:name w:val="List numbers - Level 3"/>
    <w:basedOn w:val="ListParagraph"/>
    <w:uiPriority w:val="1"/>
    <w:qFormat/>
    <w:rsid w:val="00BD171D"/>
    <w:pPr>
      <w:numPr>
        <w:ilvl w:val="2"/>
        <w:numId w:val="6"/>
      </w:numPr>
    </w:pPr>
  </w:style>
  <w:style w:type="paragraph" w:customStyle="1" w:styleId="B2-Heading1">
    <w:name w:val="B2 - Heading 1"/>
    <w:basedOn w:val="B2-Body"/>
    <w:next w:val="B2-Body"/>
    <w:uiPriority w:val="9"/>
    <w:qFormat/>
    <w:rsid w:val="007A5115"/>
    <w:pPr>
      <w:spacing w:line="240" w:lineRule="auto"/>
    </w:pPr>
    <w:rPr>
      <w:b/>
      <w:sz w:val="32"/>
    </w:rPr>
  </w:style>
  <w:style w:type="paragraph" w:styleId="TOC1">
    <w:name w:val="toc 1"/>
    <w:basedOn w:val="Normal"/>
    <w:next w:val="Normal"/>
    <w:autoRedefine/>
    <w:uiPriority w:val="39"/>
    <w:unhideWhenUsed/>
    <w:rsid w:val="00285C80"/>
    <w:pPr>
      <w:tabs>
        <w:tab w:val="right" w:leader="dot" w:pos="9628"/>
      </w:tabs>
      <w:spacing w:before="200" w:after="100"/>
    </w:pPr>
    <w:rPr>
      <w:b/>
      <w:noProof/>
    </w:rPr>
  </w:style>
  <w:style w:type="paragraph" w:styleId="TOC2">
    <w:name w:val="toc 2"/>
    <w:basedOn w:val="Normal"/>
    <w:next w:val="Normal"/>
    <w:autoRedefine/>
    <w:uiPriority w:val="39"/>
    <w:unhideWhenUsed/>
    <w:rsid w:val="00CB58EC"/>
    <w:pPr>
      <w:tabs>
        <w:tab w:val="right" w:leader="dot" w:pos="9628"/>
      </w:tabs>
      <w:spacing w:after="100"/>
      <w:ind w:left="220"/>
    </w:pPr>
    <w:rPr>
      <w:noProof/>
    </w:rPr>
  </w:style>
  <w:style w:type="paragraph" w:styleId="TOC3">
    <w:name w:val="toc 3"/>
    <w:basedOn w:val="Normal"/>
    <w:next w:val="Normal"/>
    <w:autoRedefine/>
    <w:uiPriority w:val="39"/>
    <w:unhideWhenUsed/>
    <w:rsid w:val="007658BE"/>
    <w:pPr>
      <w:tabs>
        <w:tab w:val="right" w:leader="dot" w:pos="9628"/>
      </w:tabs>
      <w:spacing w:after="100"/>
      <w:ind w:left="440"/>
    </w:pPr>
  </w:style>
  <w:style w:type="character" w:styleId="Hyperlink">
    <w:name w:val="Hyperlink"/>
    <w:basedOn w:val="DefaultParagraphFont"/>
    <w:uiPriority w:val="99"/>
    <w:unhideWhenUsed/>
    <w:rsid w:val="00996E13"/>
    <w:rPr>
      <w:rFonts w:ascii="Segoe UI" w:hAnsi="Segoe UI"/>
      <w:color w:val="1B375C" w:themeColor="hyperlink"/>
      <w:sz w:val="24"/>
      <w:u w:val="single"/>
    </w:rPr>
  </w:style>
  <w:style w:type="paragraph" w:customStyle="1" w:styleId="B2-Heading2">
    <w:name w:val="B2 - Heading 2"/>
    <w:basedOn w:val="B2-Heading1"/>
    <w:uiPriority w:val="9"/>
    <w:qFormat/>
    <w:rsid w:val="00627290"/>
    <w:rPr>
      <w:b w:val="0"/>
      <w:sz w:val="36"/>
    </w:rPr>
  </w:style>
  <w:style w:type="paragraph" w:customStyle="1" w:styleId="B2-Body">
    <w:name w:val="B2 - Body"/>
    <w:basedOn w:val="B1-Body"/>
    <w:uiPriority w:val="7"/>
    <w:rsid w:val="00036C37"/>
    <w:pPr>
      <w:pBdr>
        <w:top w:val="single" w:sz="48" w:space="1" w:color="E0CCE0" w:themeColor="text2" w:themeTint="66"/>
        <w:left w:val="single" w:sz="48" w:space="4" w:color="E0CCE0" w:themeColor="text2" w:themeTint="66"/>
        <w:bottom w:val="single" w:sz="48" w:space="1" w:color="E0CCE0" w:themeColor="text2" w:themeTint="66"/>
        <w:right w:val="single" w:sz="48" w:space="4" w:color="E0CCE0" w:themeColor="text2" w:themeTint="66"/>
      </w:pBdr>
      <w:shd w:val="clear" w:color="auto" w:fill="E0CCE0" w:themeFill="text2" w:themeFillTint="66"/>
    </w:pPr>
    <w:rPr>
      <w:color w:val="auto"/>
    </w:rPr>
  </w:style>
  <w:style w:type="paragraph" w:customStyle="1" w:styleId="B2-Listbullets">
    <w:name w:val="B2 - List bullets"/>
    <w:basedOn w:val="B1-Listbullets"/>
    <w:uiPriority w:val="8"/>
    <w:rsid w:val="00036C37"/>
    <w:pPr>
      <w:pBdr>
        <w:top w:val="single" w:sz="48" w:space="1" w:color="E0CCE0" w:themeColor="text2" w:themeTint="66"/>
        <w:left w:val="single" w:sz="48" w:space="4" w:color="E0CCE0" w:themeColor="text2" w:themeTint="66"/>
        <w:bottom w:val="single" w:sz="48" w:space="1" w:color="E0CCE0" w:themeColor="text2" w:themeTint="66"/>
        <w:right w:val="single" w:sz="48" w:space="4" w:color="E0CCE0" w:themeColor="text2" w:themeTint="66"/>
      </w:pBdr>
      <w:shd w:val="clear" w:color="auto" w:fill="E0CCE0" w:themeFill="text2" w:themeFillTint="66"/>
      <w:tabs>
        <w:tab w:val="left" w:pos="3402"/>
      </w:tabs>
    </w:pPr>
    <w:rPr>
      <w:rFonts w:eastAsia="Segoe UI"/>
      <w:color w:val="auto"/>
    </w:rPr>
  </w:style>
  <w:style w:type="paragraph" w:customStyle="1" w:styleId="B1-listnumbers">
    <w:name w:val="B1 - list numbers"/>
    <w:basedOn w:val="B1-Body"/>
    <w:link w:val="B1-listnumbersChar"/>
    <w:uiPriority w:val="5"/>
    <w:qFormat/>
    <w:rsid w:val="004E5054"/>
    <w:pPr>
      <w:numPr>
        <w:numId w:val="8"/>
      </w:numPr>
      <w:ind w:left="584" w:hanging="357"/>
    </w:pPr>
  </w:style>
  <w:style w:type="paragraph" w:customStyle="1" w:styleId="B2-Listnumbers">
    <w:name w:val="B2 - List numbers"/>
    <w:basedOn w:val="B1-listnumbers"/>
    <w:uiPriority w:val="8"/>
    <w:rsid w:val="00350E6D"/>
    <w:pPr>
      <w:numPr>
        <w:numId w:val="9"/>
      </w:numPr>
      <w:pBdr>
        <w:top w:val="single" w:sz="48" w:space="1" w:color="E0CCE0" w:themeColor="text2" w:themeTint="66"/>
        <w:left w:val="single" w:sz="48" w:space="4" w:color="E0CCE0" w:themeColor="text2" w:themeTint="66"/>
        <w:bottom w:val="single" w:sz="48" w:space="1" w:color="E0CCE0" w:themeColor="text2" w:themeTint="66"/>
        <w:right w:val="single" w:sz="48" w:space="4" w:color="E0CCE0" w:themeColor="text2" w:themeTint="66"/>
      </w:pBdr>
      <w:shd w:val="clear" w:color="auto" w:fill="E0CCE0" w:themeFill="text2" w:themeFillTint="66"/>
      <w:ind w:left="584" w:hanging="357"/>
    </w:pPr>
    <w:rPr>
      <w:color w:val="auto"/>
    </w:rPr>
  </w:style>
  <w:style w:type="table" w:customStyle="1" w:styleId="Custom1">
    <w:name w:val="Custom 1"/>
    <w:basedOn w:val="TableNormal"/>
    <w:uiPriority w:val="99"/>
    <w:rsid w:val="00665FB6"/>
    <w:pPr>
      <w:spacing w:after="0" w:line="240" w:lineRule="auto"/>
    </w:pPr>
    <w:rPr>
      <w:sz w:val="18"/>
    </w:rPr>
    <w:tblPr>
      <w:tblStyleRowBandSize w:val="1"/>
      <w:tblBorders>
        <w:top w:val="single" w:sz="4" w:space="0" w:color="AEA8D3" w:themeColor="accent1"/>
        <w:bottom w:val="single" w:sz="12" w:space="0" w:color="AEA8D3" w:themeColor="accent1"/>
        <w:insideH w:val="single" w:sz="4" w:space="0" w:color="AEA8D3" w:themeColor="accent1"/>
      </w:tblBorders>
      <w:tblCellMar>
        <w:top w:w="57" w:type="dxa"/>
        <w:bottom w:w="57" w:type="dxa"/>
      </w:tblCellMar>
    </w:tblPr>
    <w:tblStylePr w:type="firstRow">
      <w:rPr>
        <w:rFonts w:asciiTheme="minorHAnsi" w:hAnsiTheme="minorHAnsi"/>
        <w:b/>
        <w:sz w:val="18"/>
      </w:rPr>
      <w:tblPr/>
      <w:tcPr>
        <w:shd w:val="clear" w:color="auto" w:fill="AEA8D3" w:themeFill="accent1"/>
      </w:tcPr>
    </w:tblStylePr>
    <w:tblStylePr w:type="band1Horz">
      <w:tblPr/>
      <w:tcPr>
        <w:shd w:val="clear" w:color="auto" w:fill="F5A37D" w:themeFill="background2"/>
      </w:tcPr>
    </w:tblStylePr>
  </w:style>
  <w:style w:type="table" w:customStyle="1" w:styleId="Style1">
    <w:name w:val="Style1"/>
    <w:basedOn w:val="Custom1"/>
    <w:uiPriority w:val="99"/>
    <w:rsid w:val="00D500C1"/>
    <w:tblPr>
      <w:tblBorders>
        <w:top w:val="none" w:sz="0" w:space="0" w:color="auto"/>
        <w:left w:val="single" w:sz="4" w:space="0" w:color="AEA8D3" w:themeColor="accent1"/>
        <w:bottom w:val="single" w:sz="4" w:space="0" w:color="AEA8D3" w:themeColor="accent1"/>
        <w:right w:val="single" w:sz="4" w:space="0" w:color="AEA8D3" w:themeColor="accent1"/>
        <w:insideH w:val="none" w:sz="0" w:space="0" w:color="auto"/>
        <w:insideV w:val="single" w:sz="4" w:space="0" w:color="AEA8D3" w:themeColor="accent1"/>
      </w:tblBorders>
    </w:tblPr>
    <w:tblStylePr w:type="firstRow">
      <w:rPr>
        <w:rFonts w:asciiTheme="minorHAnsi" w:hAnsiTheme="minorHAnsi"/>
        <w:b/>
        <w:sz w:val="18"/>
      </w:rPr>
      <w:tblPr/>
      <w:tcPr>
        <w:shd w:val="clear" w:color="auto" w:fill="AEA8D3" w:themeFill="accent1"/>
      </w:tcPr>
    </w:tblStylePr>
    <w:tblStylePr w:type="firstCol">
      <w:rPr>
        <w:b/>
      </w:rPr>
      <w:tblPr/>
      <w:tcPr>
        <w:shd w:val="clear" w:color="auto" w:fill="AEA8D3" w:themeFill="accent1"/>
      </w:tcPr>
    </w:tblStylePr>
    <w:tblStylePr w:type="band1Horz">
      <w:tblPr/>
      <w:tcPr>
        <w:shd w:val="clear" w:color="auto" w:fill="F5A37D" w:themeFill="background2"/>
      </w:tcPr>
    </w:tblStylePr>
  </w:style>
  <w:style w:type="paragraph" w:styleId="FootnoteText">
    <w:name w:val="footnote text"/>
    <w:basedOn w:val="Normal"/>
    <w:link w:val="FootnoteTextChar"/>
    <w:uiPriority w:val="99"/>
    <w:semiHidden/>
    <w:unhideWhenUsed/>
    <w:rsid w:val="00BB74C4"/>
    <w:pPr>
      <w:spacing w:after="0" w:line="240" w:lineRule="auto"/>
    </w:pPr>
    <w:rPr>
      <w:rFonts w:ascii="Arial" w:hAnsi="Arial"/>
      <w:sz w:val="20"/>
      <w:szCs w:val="20"/>
    </w:rPr>
  </w:style>
  <w:style w:type="character" w:customStyle="1" w:styleId="FootnoteTextChar">
    <w:name w:val="Footnote Text Char"/>
    <w:basedOn w:val="DefaultParagraphFont"/>
    <w:link w:val="FootnoteText"/>
    <w:uiPriority w:val="99"/>
    <w:semiHidden/>
    <w:rsid w:val="00BB74C4"/>
    <w:rPr>
      <w:rFonts w:ascii="Arial" w:hAnsi="Arial"/>
      <w:sz w:val="20"/>
      <w:szCs w:val="20"/>
    </w:rPr>
  </w:style>
  <w:style w:type="character" w:styleId="FootnoteReference">
    <w:name w:val="footnote reference"/>
    <w:basedOn w:val="DefaultParagraphFont"/>
    <w:uiPriority w:val="99"/>
    <w:semiHidden/>
    <w:unhideWhenUsed/>
    <w:rsid w:val="00BB74C4"/>
    <w:rPr>
      <w:vertAlign w:val="superscript"/>
    </w:rPr>
  </w:style>
  <w:style w:type="paragraph" w:customStyle="1" w:styleId="B3-Heading2">
    <w:name w:val="B3 - Heading 2"/>
    <w:basedOn w:val="B2-Heading2"/>
    <w:qFormat/>
    <w:rsid w:val="00A439CD"/>
    <w:pPr>
      <w:pBdr>
        <w:top w:val="single" w:sz="48" w:space="1" w:color="F9C7B1" w:themeColor="accent2" w:themeTint="99"/>
        <w:left w:val="single" w:sz="48" w:space="4" w:color="F9C7B1" w:themeColor="accent2" w:themeTint="99"/>
        <w:bottom w:val="single" w:sz="48" w:space="1" w:color="F9C7B1" w:themeColor="accent2" w:themeTint="99"/>
        <w:right w:val="single" w:sz="48" w:space="4" w:color="F9C7B1" w:themeColor="accent2" w:themeTint="99"/>
      </w:pBdr>
      <w:shd w:val="clear" w:color="auto" w:fill="F9C7B1" w:themeFill="accent2" w:themeFillTint="99"/>
    </w:pPr>
  </w:style>
  <w:style w:type="paragraph" w:customStyle="1" w:styleId="B3-Body">
    <w:name w:val="B3 - Body"/>
    <w:basedOn w:val="B2-Body"/>
    <w:qFormat/>
    <w:rsid w:val="00A439CD"/>
    <w:pPr>
      <w:pBdr>
        <w:top w:val="single" w:sz="48" w:space="1" w:color="F9C7B1" w:themeColor="accent2" w:themeTint="99"/>
        <w:left w:val="single" w:sz="48" w:space="4" w:color="F9C7B1" w:themeColor="accent2" w:themeTint="99"/>
        <w:bottom w:val="single" w:sz="48" w:space="1" w:color="F9C7B1" w:themeColor="accent2" w:themeTint="99"/>
        <w:right w:val="single" w:sz="48" w:space="4" w:color="F9C7B1" w:themeColor="accent2" w:themeTint="99"/>
      </w:pBdr>
      <w:shd w:val="clear" w:color="auto" w:fill="F9C7B1" w:themeFill="accent2" w:themeFillTint="99"/>
    </w:pPr>
  </w:style>
  <w:style w:type="character" w:styleId="CommentReference">
    <w:name w:val="annotation reference"/>
    <w:basedOn w:val="DefaultParagraphFont"/>
    <w:uiPriority w:val="99"/>
    <w:semiHidden/>
    <w:unhideWhenUsed/>
    <w:rsid w:val="00B36006"/>
    <w:rPr>
      <w:sz w:val="16"/>
      <w:szCs w:val="16"/>
    </w:rPr>
  </w:style>
  <w:style w:type="paragraph" w:styleId="CommentText">
    <w:name w:val="annotation text"/>
    <w:basedOn w:val="Normal"/>
    <w:link w:val="CommentTextChar"/>
    <w:uiPriority w:val="99"/>
    <w:unhideWhenUsed/>
    <w:rsid w:val="00B36006"/>
    <w:pPr>
      <w:spacing w:line="240" w:lineRule="auto"/>
    </w:pPr>
    <w:rPr>
      <w:sz w:val="20"/>
      <w:szCs w:val="20"/>
    </w:rPr>
  </w:style>
  <w:style w:type="character" w:customStyle="1" w:styleId="CommentTextChar">
    <w:name w:val="Comment Text Char"/>
    <w:basedOn w:val="DefaultParagraphFont"/>
    <w:link w:val="CommentText"/>
    <w:uiPriority w:val="99"/>
    <w:rsid w:val="00B36006"/>
    <w:rPr>
      <w:sz w:val="20"/>
      <w:szCs w:val="20"/>
    </w:rPr>
  </w:style>
  <w:style w:type="paragraph" w:styleId="CommentSubject">
    <w:name w:val="annotation subject"/>
    <w:basedOn w:val="CommentText"/>
    <w:next w:val="CommentText"/>
    <w:link w:val="CommentSubjectChar"/>
    <w:uiPriority w:val="99"/>
    <w:semiHidden/>
    <w:unhideWhenUsed/>
    <w:rsid w:val="00B36006"/>
    <w:rPr>
      <w:b/>
      <w:bCs/>
    </w:rPr>
  </w:style>
  <w:style w:type="character" w:customStyle="1" w:styleId="CommentSubjectChar">
    <w:name w:val="Comment Subject Char"/>
    <w:basedOn w:val="CommentTextChar"/>
    <w:link w:val="CommentSubject"/>
    <w:uiPriority w:val="99"/>
    <w:semiHidden/>
    <w:rsid w:val="00B36006"/>
    <w:rPr>
      <w:b/>
      <w:bCs/>
      <w:sz w:val="20"/>
      <w:szCs w:val="20"/>
    </w:rPr>
  </w:style>
  <w:style w:type="character" w:styleId="FollowedHyperlink">
    <w:name w:val="FollowedHyperlink"/>
    <w:basedOn w:val="DefaultParagraphFont"/>
    <w:uiPriority w:val="99"/>
    <w:semiHidden/>
    <w:unhideWhenUsed/>
    <w:rsid w:val="00F35100"/>
    <w:rPr>
      <w:color w:val="B75B53" w:themeColor="followedHyperlink"/>
      <w:u w:val="single"/>
    </w:rPr>
  </w:style>
  <w:style w:type="paragraph" w:styleId="Revision">
    <w:name w:val="Revision"/>
    <w:hidden/>
    <w:uiPriority w:val="99"/>
    <w:semiHidden/>
    <w:rsid w:val="00F95179"/>
    <w:pPr>
      <w:spacing w:after="0" w:line="240" w:lineRule="auto"/>
    </w:pPr>
    <w:rPr>
      <w:sz w:val="24"/>
    </w:rPr>
  </w:style>
  <w:style w:type="character" w:customStyle="1" w:styleId="UnresolvedMention1">
    <w:name w:val="Unresolved Mention1"/>
    <w:basedOn w:val="DefaultParagraphFont"/>
    <w:uiPriority w:val="99"/>
    <w:semiHidden/>
    <w:unhideWhenUsed/>
    <w:rsid w:val="00B4327A"/>
    <w:rPr>
      <w:color w:val="605E5C"/>
      <w:shd w:val="clear" w:color="auto" w:fill="E1DFDD"/>
    </w:rPr>
  </w:style>
  <w:style w:type="paragraph" w:customStyle="1" w:styleId="Heading2ToR">
    <w:name w:val="Heading 2 (ToR)"/>
    <w:basedOn w:val="Normal"/>
    <w:qFormat/>
    <w:rsid w:val="005A4960"/>
    <w:pPr>
      <w:spacing w:line="281" w:lineRule="auto"/>
      <w:outlineLvl w:val="1"/>
    </w:pPr>
    <w:rPr>
      <w:rFonts w:cstheme="minorHAnsi"/>
      <w:b/>
      <w:lang w:val="en-US"/>
    </w:rPr>
  </w:style>
  <w:style w:type="paragraph" w:customStyle="1" w:styleId="Heading3ToR">
    <w:name w:val="Heading 3 (ToR)"/>
    <w:basedOn w:val="Normal"/>
    <w:qFormat/>
    <w:rsid w:val="005A4960"/>
    <w:pPr>
      <w:spacing w:line="281" w:lineRule="auto"/>
      <w:outlineLvl w:val="2"/>
    </w:pPr>
    <w:rPr>
      <w:rFonts w:cstheme="minorHAnsi"/>
      <w:b/>
      <w:lang w:val="en-US"/>
    </w:rPr>
  </w:style>
  <w:style w:type="paragraph" w:styleId="NormalWeb">
    <w:name w:val="Normal (Web)"/>
    <w:basedOn w:val="Normal"/>
    <w:uiPriority w:val="99"/>
    <w:unhideWhenUsed/>
    <w:rsid w:val="005429CE"/>
    <w:pPr>
      <w:spacing w:before="100" w:beforeAutospacing="1" w:after="100" w:afterAutospacing="1" w:line="240" w:lineRule="auto"/>
    </w:pPr>
    <w:rPr>
      <w:rFonts w:ascii="Times New Roman" w:eastAsia="Times New Roman" w:hAnsi="Times New Roman" w:cs="Times New Roman"/>
      <w:szCs w:val="24"/>
      <w:lang w:eastAsia="en-AU"/>
    </w:rPr>
  </w:style>
  <w:style w:type="character" w:customStyle="1" w:styleId="ListParagraphChar">
    <w:name w:val="List Paragraph Char"/>
    <w:aliases w:val="Recommendation Char,List Paragraph1 Char,List Paragraph11 Char,L Char,Bullet point Char,List Paragraph111 Char,F5 List Paragraph Char,Dot pt Char,CV text Char,Table text Char,Medium Grid 1 - Accent 21 Char,Numbered Paragraph Char"/>
    <w:link w:val="ListParagraph"/>
    <w:uiPriority w:val="34"/>
    <w:qFormat/>
    <w:locked/>
    <w:rsid w:val="00BC41FA"/>
    <w:rPr>
      <w:sz w:val="20"/>
    </w:rPr>
  </w:style>
  <w:style w:type="paragraph" w:styleId="EndnoteText">
    <w:name w:val="endnote text"/>
    <w:basedOn w:val="Normal"/>
    <w:link w:val="EndnoteTextChar"/>
    <w:uiPriority w:val="99"/>
    <w:unhideWhenUsed/>
    <w:qFormat/>
    <w:rsid w:val="003B213D"/>
    <w:pPr>
      <w:spacing w:after="0" w:line="240" w:lineRule="auto"/>
    </w:pPr>
    <w:rPr>
      <w:sz w:val="20"/>
      <w:szCs w:val="20"/>
    </w:rPr>
  </w:style>
  <w:style w:type="character" w:customStyle="1" w:styleId="EndnoteTextChar">
    <w:name w:val="Endnote Text Char"/>
    <w:basedOn w:val="DefaultParagraphFont"/>
    <w:link w:val="EndnoteText"/>
    <w:uiPriority w:val="99"/>
    <w:rsid w:val="003B213D"/>
    <w:rPr>
      <w:sz w:val="20"/>
      <w:szCs w:val="20"/>
    </w:rPr>
  </w:style>
  <w:style w:type="character" w:styleId="EndnoteReference">
    <w:name w:val="endnote reference"/>
    <w:basedOn w:val="DefaultParagraphFont"/>
    <w:uiPriority w:val="99"/>
    <w:unhideWhenUsed/>
    <w:qFormat/>
    <w:rsid w:val="003B213D"/>
    <w:rPr>
      <w:vertAlign w:val="superscript"/>
    </w:rPr>
  </w:style>
  <w:style w:type="character" w:customStyle="1" w:styleId="CoverLevel1">
    <w:name w:val="Cover Level 1"/>
    <w:basedOn w:val="DefaultParagraphFont"/>
    <w:uiPriority w:val="1"/>
    <w:qFormat/>
    <w:rsid w:val="005A4960"/>
    <w:rPr>
      <w:rFonts w:asciiTheme="majorHAnsi" w:hAnsiTheme="majorHAnsi" w:cs="Arial"/>
      <w:spacing w:val="-10"/>
      <w:kern w:val="28"/>
      <w:szCs w:val="56"/>
      <w:shd w:val="clear" w:color="auto" w:fill="AEA8D3" w:themeFill="accent1"/>
      <w:lang w:val="en-US"/>
    </w:rPr>
  </w:style>
  <w:style w:type="paragraph" w:customStyle="1" w:styleId="B1-Heading3">
    <w:name w:val="B1 - Heading 3"/>
    <w:basedOn w:val="B1-Heading2"/>
    <w:next w:val="B1-Body"/>
    <w:qFormat/>
    <w:rsid w:val="00987367"/>
    <w:pPr>
      <w:outlineLvl w:val="3"/>
    </w:pPr>
    <w:rPr>
      <w:rFonts w:eastAsia="Segoe UI"/>
      <w:color w:val="092B57" w:themeColor="text1"/>
      <w:sz w:val="28"/>
      <w:szCs w:val="28"/>
    </w:rPr>
  </w:style>
  <w:style w:type="paragraph" w:customStyle="1" w:styleId="EndNoteBibliographyTitle">
    <w:name w:val="EndNote Bibliography Title"/>
    <w:basedOn w:val="Normal"/>
    <w:link w:val="EndNoteBibliographyTitleChar"/>
    <w:rsid w:val="00CA2930"/>
    <w:pPr>
      <w:spacing w:after="0"/>
      <w:jc w:val="center"/>
    </w:pPr>
    <w:rPr>
      <w:rFonts w:ascii="Segoe UI" w:hAnsi="Segoe UI" w:cs="Segoe UI"/>
      <w:noProof/>
      <w:lang w:val="en-US"/>
    </w:rPr>
  </w:style>
  <w:style w:type="character" w:customStyle="1" w:styleId="EndNoteBibliographyTitleChar">
    <w:name w:val="EndNote Bibliography Title Char"/>
    <w:basedOn w:val="DefaultParagraphFont"/>
    <w:link w:val="EndNoteBibliographyTitle"/>
    <w:rsid w:val="00CA2930"/>
    <w:rPr>
      <w:rFonts w:ascii="Segoe UI" w:hAnsi="Segoe UI" w:cs="Segoe UI"/>
      <w:noProof/>
      <w:sz w:val="24"/>
      <w:lang w:val="en-US"/>
    </w:rPr>
  </w:style>
  <w:style w:type="paragraph" w:customStyle="1" w:styleId="EndNoteBibliography">
    <w:name w:val="EndNote Bibliography"/>
    <w:basedOn w:val="Normal"/>
    <w:link w:val="EndNoteBibliographyChar"/>
    <w:rsid w:val="00CA2930"/>
    <w:pPr>
      <w:spacing w:line="240" w:lineRule="auto"/>
    </w:pPr>
    <w:rPr>
      <w:rFonts w:ascii="Segoe UI" w:hAnsi="Segoe UI" w:cs="Segoe UI"/>
      <w:noProof/>
      <w:lang w:val="en-US"/>
    </w:rPr>
  </w:style>
  <w:style w:type="character" w:customStyle="1" w:styleId="EndNoteBibliographyChar">
    <w:name w:val="EndNote Bibliography Char"/>
    <w:basedOn w:val="DefaultParagraphFont"/>
    <w:link w:val="EndNoteBibliography"/>
    <w:rsid w:val="00CA2930"/>
    <w:rPr>
      <w:rFonts w:ascii="Segoe UI" w:hAnsi="Segoe UI" w:cs="Segoe UI"/>
      <w:noProof/>
      <w:sz w:val="24"/>
      <w:lang w:val="en-US"/>
    </w:rPr>
  </w:style>
  <w:style w:type="character" w:customStyle="1" w:styleId="field">
    <w:name w:val="field"/>
    <w:basedOn w:val="DefaultParagraphFont"/>
    <w:rsid w:val="00CA2930"/>
  </w:style>
  <w:style w:type="paragraph" w:customStyle="1" w:styleId="subsection">
    <w:name w:val="subsection"/>
    <w:basedOn w:val="Normal"/>
    <w:rsid w:val="00CA2930"/>
    <w:pPr>
      <w:spacing w:before="100" w:beforeAutospacing="1" w:after="100" w:afterAutospacing="1" w:line="240" w:lineRule="auto"/>
    </w:pPr>
    <w:rPr>
      <w:rFonts w:ascii="Times New Roman" w:eastAsia="Times New Roman" w:hAnsi="Times New Roman" w:cs="Times New Roman"/>
      <w:szCs w:val="24"/>
      <w:lang w:eastAsia="en-AU"/>
    </w:rPr>
  </w:style>
  <w:style w:type="paragraph" w:customStyle="1" w:styleId="paragraph">
    <w:name w:val="paragraph"/>
    <w:basedOn w:val="Normal"/>
    <w:rsid w:val="00CA2930"/>
    <w:pPr>
      <w:spacing w:before="100" w:beforeAutospacing="1" w:after="100" w:afterAutospacing="1" w:line="240" w:lineRule="auto"/>
    </w:pPr>
    <w:rPr>
      <w:rFonts w:ascii="Times New Roman" w:eastAsia="Times New Roman" w:hAnsi="Times New Roman" w:cs="Times New Roman"/>
      <w:szCs w:val="24"/>
      <w:lang w:eastAsia="en-AU"/>
    </w:rPr>
  </w:style>
  <w:style w:type="paragraph" w:customStyle="1" w:styleId="paragraphsub">
    <w:name w:val="paragraphsub"/>
    <w:basedOn w:val="Normal"/>
    <w:rsid w:val="00CA2930"/>
    <w:pPr>
      <w:spacing w:before="100" w:beforeAutospacing="1" w:after="100" w:afterAutospacing="1" w:line="240" w:lineRule="auto"/>
    </w:pPr>
    <w:rPr>
      <w:rFonts w:ascii="Times New Roman" w:eastAsia="Times New Roman" w:hAnsi="Times New Roman" w:cs="Times New Roman"/>
      <w:szCs w:val="24"/>
      <w:lang w:eastAsia="en-AU"/>
    </w:rPr>
  </w:style>
  <w:style w:type="character" w:customStyle="1" w:styleId="ui-provider">
    <w:name w:val="ui-provider"/>
    <w:basedOn w:val="DefaultParagraphFont"/>
    <w:rsid w:val="00CA2930"/>
  </w:style>
  <w:style w:type="table" w:styleId="PlainTable3">
    <w:name w:val="Plain Table 3"/>
    <w:basedOn w:val="TableNormal"/>
    <w:uiPriority w:val="43"/>
    <w:rsid w:val="00CA2930"/>
    <w:pPr>
      <w:spacing w:after="0" w:line="240" w:lineRule="auto"/>
    </w:pPr>
    <w:tblPr>
      <w:tblStyleRowBandSize w:val="1"/>
      <w:tblStyleColBandSize w:val="1"/>
    </w:tblPr>
    <w:tblStylePr w:type="firstRow">
      <w:rPr>
        <w:b/>
        <w:bCs/>
        <w:caps/>
      </w:rPr>
      <w:tblPr/>
      <w:tcPr>
        <w:tcBorders>
          <w:bottom w:val="single" w:sz="4" w:space="0" w:color="428CEB"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428CEB"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GridTable5Dark-Accent3">
    <w:name w:val="Grid Table 5 Dark Accent 3"/>
    <w:basedOn w:val="TableNormal"/>
    <w:uiPriority w:val="50"/>
    <w:rsid w:val="00CA293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DFD6"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26337"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26337"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26337"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26337" w:themeFill="accent3"/>
      </w:tcPr>
    </w:tblStylePr>
    <w:tblStylePr w:type="band1Vert">
      <w:tblPr/>
      <w:tcPr>
        <w:shd w:val="clear" w:color="auto" w:fill="F9C0AE" w:themeFill="accent3" w:themeFillTint="66"/>
      </w:tcPr>
    </w:tblStylePr>
    <w:tblStylePr w:type="band1Horz">
      <w:tblPr/>
      <w:tcPr>
        <w:shd w:val="clear" w:color="auto" w:fill="F9C0AE" w:themeFill="accent3" w:themeFillTint="66"/>
      </w:tcPr>
    </w:tblStylePr>
  </w:style>
  <w:style w:type="table" w:styleId="GridTable5Dark">
    <w:name w:val="Grid Table 5 Dark"/>
    <w:basedOn w:val="TableNormal"/>
    <w:uiPriority w:val="50"/>
    <w:rsid w:val="00CA293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3D1F7"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92B57"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92B57"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92B57"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92B57" w:themeFill="text1"/>
      </w:tcPr>
    </w:tblStylePr>
    <w:tblStylePr w:type="band1Vert">
      <w:tblPr/>
      <w:tcPr>
        <w:shd w:val="clear" w:color="auto" w:fill="68A3EF" w:themeFill="text1" w:themeFillTint="66"/>
      </w:tcPr>
    </w:tblStylePr>
    <w:tblStylePr w:type="band1Horz">
      <w:tblPr/>
      <w:tcPr>
        <w:shd w:val="clear" w:color="auto" w:fill="68A3EF" w:themeFill="text1" w:themeFillTint="66"/>
      </w:tcPr>
    </w:tblStylePr>
  </w:style>
  <w:style w:type="table" w:styleId="GridTable5Dark-Accent4">
    <w:name w:val="Grid Table 5 Dark Accent 4"/>
    <w:basedOn w:val="TableNormal"/>
    <w:uiPriority w:val="50"/>
    <w:rsid w:val="00CA293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7F7F7"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8D8D8"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8D8D8"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8D8D8"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8D8D8" w:themeFill="accent4"/>
      </w:tcPr>
    </w:tblStylePr>
    <w:tblStylePr w:type="band1Vert">
      <w:tblPr/>
      <w:tcPr>
        <w:shd w:val="clear" w:color="auto" w:fill="EFEFEF" w:themeFill="accent4" w:themeFillTint="66"/>
      </w:tcPr>
    </w:tblStylePr>
    <w:tblStylePr w:type="band1Horz">
      <w:tblPr/>
      <w:tcPr>
        <w:shd w:val="clear" w:color="auto" w:fill="EFEFEF" w:themeFill="accent4" w:themeFillTint="66"/>
      </w:tcPr>
    </w:tblStylePr>
  </w:style>
  <w:style w:type="table" w:styleId="GridTable5Dark-Accent5">
    <w:name w:val="Grid Table 5 Dark Accent 5"/>
    <w:basedOn w:val="TableNormal"/>
    <w:uiPriority w:val="50"/>
    <w:rsid w:val="00CA293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CF3FD"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1C5F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1C5F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1C5F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1C5F5" w:themeFill="accent5"/>
      </w:tcPr>
    </w:tblStylePr>
    <w:tblStylePr w:type="band1Vert">
      <w:tblPr/>
      <w:tcPr>
        <w:shd w:val="clear" w:color="auto" w:fill="D9E7FB" w:themeFill="accent5" w:themeFillTint="66"/>
      </w:tcPr>
    </w:tblStylePr>
    <w:tblStylePr w:type="band1Horz">
      <w:tblPr/>
      <w:tcPr>
        <w:shd w:val="clear" w:color="auto" w:fill="D9E7FB" w:themeFill="accent5" w:themeFillTint="66"/>
      </w:tcPr>
    </w:tblStylePr>
  </w:style>
  <w:style w:type="table" w:styleId="PlainTable2">
    <w:name w:val="Plain Table 2"/>
    <w:basedOn w:val="TableNormal"/>
    <w:uiPriority w:val="42"/>
    <w:rsid w:val="00CA2930"/>
    <w:pPr>
      <w:spacing w:after="0" w:line="240" w:lineRule="auto"/>
    </w:pPr>
    <w:rPr>
      <w:rFonts w:eastAsiaTheme="minorHAnsi"/>
      <w:sz w:val="22"/>
      <w:szCs w:val="22"/>
    </w:rPr>
    <w:tblPr>
      <w:tblStyleRowBandSize w:val="1"/>
      <w:tblStyleColBandSize w:val="1"/>
      <w:tblBorders>
        <w:top w:val="single" w:sz="4" w:space="0" w:color="428CEB" w:themeColor="text1" w:themeTint="80"/>
        <w:bottom w:val="single" w:sz="4" w:space="0" w:color="428CEB" w:themeColor="text1" w:themeTint="80"/>
      </w:tblBorders>
    </w:tblPr>
    <w:tblStylePr w:type="firstRow">
      <w:rPr>
        <w:b/>
        <w:bCs/>
      </w:rPr>
      <w:tblPr/>
      <w:tcPr>
        <w:tcBorders>
          <w:bottom w:val="single" w:sz="4" w:space="0" w:color="428CEB" w:themeColor="text1" w:themeTint="80"/>
        </w:tcBorders>
      </w:tcPr>
    </w:tblStylePr>
    <w:tblStylePr w:type="lastRow">
      <w:rPr>
        <w:b/>
        <w:bCs/>
      </w:rPr>
      <w:tblPr/>
      <w:tcPr>
        <w:tcBorders>
          <w:top w:val="single" w:sz="4" w:space="0" w:color="428CEB" w:themeColor="text1" w:themeTint="80"/>
        </w:tcBorders>
      </w:tcPr>
    </w:tblStylePr>
    <w:tblStylePr w:type="firstCol">
      <w:rPr>
        <w:b/>
        <w:bCs/>
      </w:rPr>
    </w:tblStylePr>
    <w:tblStylePr w:type="lastCol">
      <w:rPr>
        <w:b/>
        <w:bCs/>
      </w:rPr>
    </w:tblStylePr>
    <w:tblStylePr w:type="band1Vert">
      <w:tblPr/>
      <w:tcPr>
        <w:tcBorders>
          <w:left w:val="single" w:sz="4" w:space="0" w:color="428CEB" w:themeColor="text1" w:themeTint="80"/>
          <w:right w:val="single" w:sz="4" w:space="0" w:color="428CEB" w:themeColor="text1" w:themeTint="80"/>
        </w:tcBorders>
      </w:tcPr>
    </w:tblStylePr>
    <w:tblStylePr w:type="band2Vert">
      <w:tblPr/>
      <w:tcPr>
        <w:tcBorders>
          <w:left w:val="single" w:sz="4" w:space="0" w:color="428CEB" w:themeColor="text1" w:themeTint="80"/>
          <w:right w:val="single" w:sz="4" w:space="0" w:color="428CEB" w:themeColor="text1" w:themeTint="80"/>
        </w:tcBorders>
      </w:tcPr>
    </w:tblStylePr>
    <w:tblStylePr w:type="band1Horz">
      <w:tblPr/>
      <w:tcPr>
        <w:tcBorders>
          <w:top w:val="single" w:sz="4" w:space="0" w:color="428CEB" w:themeColor="text1" w:themeTint="80"/>
          <w:bottom w:val="single" w:sz="4" w:space="0" w:color="428CEB" w:themeColor="text1" w:themeTint="80"/>
        </w:tcBorders>
      </w:tcPr>
    </w:tblStylePr>
  </w:style>
  <w:style w:type="table" w:styleId="GridTable4-Accent1">
    <w:name w:val="Grid Table 4 Accent 1"/>
    <w:basedOn w:val="TableNormal"/>
    <w:uiPriority w:val="49"/>
    <w:rsid w:val="00CA2930"/>
    <w:pPr>
      <w:spacing w:after="0" w:line="240" w:lineRule="auto"/>
    </w:pPr>
    <w:tblPr>
      <w:tblStyleRowBandSize w:val="1"/>
      <w:tblStyleColBandSize w:val="1"/>
      <w:tblBorders>
        <w:top w:val="single" w:sz="4" w:space="0" w:color="CECAE4" w:themeColor="accent1" w:themeTint="99"/>
        <w:left w:val="single" w:sz="4" w:space="0" w:color="CECAE4" w:themeColor="accent1" w:themeTint="99"/>
        <w:bottom w:val="single" w:sz="4" w:space="0" w:color="CECAE4" w:themeColor="accent1" w:themeTint="99"/>
        <w:right w:val="single" w:sz="4" w:space="0" w:color="CECAE4" w:themeColor="accent1" w:themeTint="99"/>
        <w:insideH w:val="single" w:sz="4" w:space="0" w:color="CECAE4" w:themeColor="accent1" w:themeTint="99"/>
        <w:insideV w:val="single" w:sz="4" w:space="0" w:color="CECAE4" w:themeColor="accent1" w:themeTint="99"/>
      </w:tblBorders>
    </w:tblPr>
    <w:tblStylePr w:type="firstRow">
      <w:rPr>
        <w:b/>
        <w:bCs/>
        <w:color w:val="FFFFFF" w:themeColor="background1"/>
      </w:rPr>
      <w:tblPr/>
      <w:tcPr>
        <w:tcBorders>
          <w:top w:val="single" w:sz="4" w:space="0" w:color="AEA8D3" w:themeColor="accent1"/>
          <w:left w:val="single" w:sz="4" w:space="0" w:color="AEA8D3" w:themeColor="accent1"/>
          <w:bottom w:val="single" w:sz="4" w:space="0" w:color="AEA8D3" w:themeColor="accent1"/>
          <w:right w:val="single" w:sz="4" w:space="0" w:color="AEA8D3" w:themeColor="accent1"/>
          <w:insideH w:val="nil"/>
          <w:insideV w:val="nil"/>
        </w:tcBorders>
        <w:shd w:val="clear" w:color="auto" w:fill="AEA8D3" w:themeFill="accent1"/>
      </w:tcPr>
    </w:tblStylePr>
    <w:tblStylePr w:type="lastRow">
      <w:rPr>
        <w:b/>
        <w:bCs/>
      </w:rPr>
      <w:tblPr/>
      <w:tcPr>
        <w:tcBorders>
          <w:top w:val="double" w:sz="4" w:space="0" w:color="AEA8D3" w:themeColor="accent1"/>
        </w:tcBorders>
      </w:tcPr>
    </w:tblStylePr>
    <w:tblStylePr w:type="firstCol">
      <w:rPr>
        <w:b/>
        <w:bCs/>
      </w:rPr>
    </w:tblStylePr>
    <w:tblStylePr w:type="lastCol">
      <w:rPr>
        <w:b/>
        <w:bCs/>
      </w:rPr>
    </w:tblStylePr>
    <w:tblStylePr w:type="band1Vert">
      <w:tblPr/>
      <w:tcPr>
        <w:shd w:val="clear" w:color="auto" w:fill="EEEDF6" w:themeFill="accent1" w:themeFillTint="33"/>
      </w:tcPr>
    </w:tblStylePr>
    <w:tblStylePr w:type="band1Horz">
      <w:tblPr/>
      <w:tcPr>
        <w:shd w:val="clear" w:color="auto" w:fill="EEEDF6" w:themeFill="accent1" w:themeFillTint="33"/>
      </w:tcPr>
    </w:tblStylePr>
  </w:style>
  <w:style w:type="paragraph" w:customStyle="1" w:styleId="B3-Heading1">
    <w:name w:val="B3 - Heading 1"/>
    <w:basedOn w:val="B1-Heading1"/>
    <w:link w:val="B3-Heading1Char"/>
    <w:qFormat/>
    <w:rsid w:val="00350E6D"/>
    <w:pPr>
      <w:keepNext/>
      <w:keepLines/>
      <w:pBdr>
        <w:top w:val="single" w:sz="48" w:space="1" w:color="F9C7B1" w:themeColor="accent2" w:themeTint="99"/>
        <w:left w:val="single" w:sz="48" w:space="4" w:color="F9C7B1" w:themeColor="accent2" w:themeTint="99"/>
        <w:bottom w:val="single" w:sz="48" w:space="1" w:color="F9C7B1" w:themeColor="accent2" w:themeTint="99"/>
        <w:right w:val="single" w:sz="48" w:space="4" w:color="F9C7B1" w:themeColor="accent2" w:themeTint="99"/>
      </w:pBdr>
      <w:shd w:val="clear" w:color="auto" w:fill="F9C7B1" w:themeFill="accent2" w:themeFillTint="99"/>
      <w:tabs>
        <w:tab w:val="clear" w:pos="3300"/>
      </w:tabs>
      <w:spacing w:before="240"/>
    </w:pPr>
    <w:rPr>
      <w:rFonts w:ascii="Segoe UI" w:eastAsiaTheme="majorEastAsia" w:hAnsi="Segoe UI" w:cstheme="majorBidi"/>
      <w:color w:val="000000"/>
      <w:szCs w:val="28"/>
      <w14:textFill>
        <w14:solidFill>
          <w14:srgbClr w14:val="000000">
            <w14:lumMod w14:val="90000"/>
            <w14:lumOff w14:val="10000"/>
          </w14:srgbClr>
        </w14:solidFill>
      </w14:textFill>
    </w:rPr>
  </w:style>
  <w:style w:type="paragraph" w:customStyle="1" w:styleId="B3-Listnumbers">
    <w:name w:val="B3 - List numbers"/>
    <w:basedOn w:val="B1-listnumbers"/>
    <w:link w:val="B3-ListnumbersChar"/>
    <w:qFormat/>
    <w:rsid w:val="00A439CD"/>
    <w:pPr>
      <w:pBdr>
        <w:top w:val="single" w:sz="48" w:space="1" w:color="F9C7B1" w:themeColor="accent2" w:themeTint="99"/>
        <w:left w:val="single" w:sz="48" w:space="4" w:color="F9C7B1" w:themeColor="accent2" w:themeTint="99"/>
        <w:bottom w:val="single" w:sz="48" w:space="1" w:color="F9C7B1" w:themeColor="accent2" w:themeTint="99"/>
        <w:right w:val="single" w:sz="48" w:space="4" w:color="F9C7B1" w:themeColor="accent2" w:themeTint="99"/>
      </w:pBdr>
      <w:shd w:val="clear" w:color="auto" w:fill="F9C7B1" w:themeFill="accent2" w:themeFillTint="99"/>
    </w:pPr>
    <w:rPr>
      <w:rFonts w:cstheme="minorHAnsi"/>
      <w:color w:val="auto"/>
      <w:szCs w:val="24"/>
    </w:rPr>
  </w:style>
  <w:style w:type="character" w:customStyle="1" w:styleId="B1-Heading1Char">
    <w:name w:val="B1 - Heading 1 Char"/>
    <w:basedOn w:val="Heading2Char"/>
    <w:link w:val="B1-Heading1"/>
    <w:uiPriority w:val="6"/>
    <w:rsid w:val="007A5115"/>
    <w:rPr>
      <w:rFonts w:ascii="Segoe UI" w:eastAsiaTheme="majorEastAsia" w:hAnsi="Segoe UI" w:cstheme="majorBidi"/>
      <w:b/>
      <w:color w:val="0C3D7B" w:themeColor="text1" w:themeTint="E6"/>
      <w:sz w:val="32"/>
      <w:szCs w:val="32"/>
      <w:shd w:val="clear" w:color="auto" w:fill="EEEDF6" w:themeFill="accent1" w:themeFillTint="33"/>
    </w:rPr>
  </w:style>
  <w:style w:type="character" w:customStyle="1" w:styleId="B3-Heading1Char">
    <w:name w:val="B3 - Heading 1 Char"/>
    <w:basedOn w:val="B1-Heading1Char"/>
    <w:link w:val="B3-Heading1"/>
    <w:rsid w:val="00350E6D"/>
    <w:rPr>
      <w:rFonts w:ascii="Segoe UI" w:eastAsiaTheme="majorEastAsia" w:hAnsi="Segoe UI" w:cstheme="majorBidi"/>
      <w:b/>
      <w:color w:val="000000"/>
      <w:sz w:val="40"/>
      <w:szCs w:val="28"/>
      <w:shd w:val="clear" w:color="auto" w:fill="F9C7B1" w:themeFill="accent2" w:themeFillTint="99"/>
      <w14:textFill>
        <w14:solidFill>
          <w14:srgbClr w14:val="000000">
            <w14:lumMod w14:val="90000"/>
            <w14:lumOff w14:val="10000"/>
          </w14:srgbClr>
        </w14:solidFill>
      </w14:textFill>
    </w:rPr>
  </w:style>
  <w:style w:type="character" w:customStyle="1" w:styleId="B1-BodyChar">
    <w:name w:val="B1 - Body Char"/>
    <w:basedOn w:val="DefaultParagraphFont"/>
    <w:link w:val="B1-Body"/>
    <w:uiPriority w:val="4"/>
    <w:rsid w:val="009D296A"/>
    <w:rPr>
      <w:rFonts w:eastAsia="Times New Roman"/>
      <w:color w:val="092B57" w:themeColor="accent6"/>
      <w:sz w:val="20"/>
      <w:szCs w:val="20"/>
      <w:shd w:val="clear" w:color="auto" w:fill="EEEDF6" w:themeFill="accent1" w:themeFillTint="33"/>
      <w:lang w:val="en-US"/>
    </w:rPr>
  </w:style>
  <w:style w:type="character" w:customStyle="1" w:styleId="B1-listnumbersChar">
    <w:name w:val="B1 - list numbers Char"/>
    <w:basedOn w:val="B1-BodyChar"/>
    <w:link w:val="B1-listnumbers"/>
    <w:uiPriority w:val="5"/>
    <w:rsid w:val="004E5054"/>
    <w:rPr>
      <w:rFonts w:eastAsia="Times New Roman"/>
      <w:color w:val="092B57" w:themeColor="accent6"/>
      <w:sz w:val="24"/>
      <w:szCs w:val="20"/>
      <w:shd w:val="clear" w:color="auto" w:fill="EEEDF6" w:themeFill="accent1" w:themeFillTint="33"/>
      <w:lang w:val="en-US"/>
    </w:rPr>
  </w:style>
  <w:style w:type="character" w:customStyle="1" w:styleId="B3-ListnumbersChar">
    <w:name w:val="B3 - List numbers Char"/>
    <w:basedOn w:val="B1-listnumbersChar"/>
    <w:link w:val="B3-Listnumbers"/>
    <w:rsid w:val="00A439CD"/>
    <w:rPr>
      <w:rFonts w:eastAsia="Times New Roman" w:cstheme="minorHAnsi"/>
      <w:color w:val="092B57" w:themeColor="accent6"/>
      <w:sz w:val="24"/>
      <w:szCs w:val="24"/>
      <w:shd w:val="clear" w:color="auto" w:fill="F9C7B1" w:themeFill="accent2" w:themeFillTint="99"/>
      <w:lang w:val="en-US"/>
    </w:rPr>
  </w:style>
  <w:style w:type="paragraph" w:customStyle="1" w:styleId="B3-Listbullets">
    <w:name w:val="B3 - List bullets"/>
    <w:basedOn w:val="B2-Listbullets"/>
    <w:qFormat/>
    <w:rsid w:val="00A439CD"/>
    <w:pPr>
      <w:pBdr>
        <w:top w:val="single" w:sz="48" w:space="1" w:color="F9C7B1" w:themeColor="accent2" w:themeTint="99"/>
        <w:left w:val="single" w:sz="48" w:space="4" w:color="F9C7B1" w:themeColor="accent2" w:themeTint="99"/>
        <w:bottom w:val="single" w:sz="48" w:space="1" w:color="F9C7B1" w:themeColor="accent2" w:themeTint="99"/>
        <w:right w:val="single" w:sz="48" w:space="4" w:color="F9C7B1" w:themeColor="accent2" w:themeTint="99"/>
      </w:pBdr>
      <w:shd w:val="clear" w:color="auto" w:fill="F9C7B1" w:themeFill="accent2" w:themeFillTint="99"/>
    </w:pPr>
  </w:style>
  <w:style w:type="paragraph" w:customStyle="1" w:styleId="B4-Heading1">
    <w:name w:val="B4 - Heading 1"/>
    <w:basedOn w:val="B3-Heading1"/>
    <w:qFormat/>
    <w:rsid w:val="00A439CD"/>
    <w:pPr>
      <w:pBdr>
        <w:top w:val="single" w:sz="48" w:space="1" w:color="092B57" w:themeColor="text1"/>
        <w:left w:val="single" w:sz="48" w:space="4" w:color="092B57" w:themeColor="text1"/>
        <w:bottom w:val="single" w:sz="48" w:space="1" w:color="092B57" w:themeColor="text1"/>
        <w:right w:val="single" w:sz="48" w:space="4" w:color="092B57" w:themeColor="text1"/>
      </w:pBdr>
      <w:shd w:val="clear" w:color="auto" w:fill="092B57" w:themeFill="text1"/>
    </w:pPr>
    <w:rPr>
      <w:color w:val="F5A37D" w:themeColor="background2"/>
      <w14:textFill>
        <w14:solidFill>
          <w14:schemeClr w14:val="bg2">
            <w14:lumMod w14:val="90000"/>
            <w14:lumOff w14:val="10000"/>
            <w14:lumMod w14:val="90000"/>
            <w14:lumOff w14:val="10000"/>
          </w14:schemeClr>
        </w14:solidFill>
      </w14:textFill>
    </w:rPr>
  </w:style>
  <w:style w:type="paragraph" w:customStyle="1" w:styleId="B4-Heading2">
    <w:name w:val="B4 - Heading 2"/>
    <w:basedOn w:val="B3-Heading2"/>
    <w:qFormat/>
    <w:rsid w:val="00A439CD"/>
    <w:pPr>
      <w:pBdr>
        <w:top w:val="single" w:sz="48" w:space="1" w:color="092B57" w:themeColor="text1"/>
        <w:left w:val="single" w:sz="48" w:space="4" w:color="092B57" w:themeColor="text1"/>
        <w:bottom w:val="single" w:sz="48" w:space="1" w:color="092B57" w:themeColor="text1"/>
        <w:right w:val="single" w:sz="48" w:space="4" w:color="092B57" w:themeColor="text1"/>
      </w:pBdr>
      <w:shd w:val="clear" w:color="auto" w:fill="092B57" w:themeFill="text1"/>
    </w:pPr>
    <w:rPr>
      <w:color w:val="F5A37D" w:themeColor="background2"/>
    </w:rPr>
  </w:style>
  <w:style w:type="paragraph" w:customStyle="1" w:styleId="B4-Body">
    <w:name w:val="B4 - Body"/>
    <w:basedOn w:val="B3-Body"/>
    <w:qFormat/>
    <w:rsid w:val="00601451"/>
    <w:pPr>
      <w:pBdr>
        <w:top w:val="single" w:sz="48" w:space="1" w:color="092B57" w:themeColor="text1"/>
        <w:left w:val="single" w:sz="48" w:space="4" w:color="092B57" w:themeColor="text1"/>
        <w:bottom w:val="single" w:sz="48" w:space="1" w:color="092B57" w:themeColor="text1"/>
        <w:right w:val="single" w:sz="48" w:space="4" w:color="092B57" w:themeColor="text1"/>
      </w:pBdr>
      <w:shd w:val="clear" w:color="auto" w:fill="092B57" w:themeFill="text1"/>
    </w:pPr>
    <w:rPr>
      <w:color w:val="F9C7B1" w:themeColor="background2" w:themeTint="99"/>
    </w:rPr>
  </w:style>
  <w:style w:type="paragraph" w:customStyle="1" w:styleId="B4-Listnumbers">
    <w:name w:val="B4 - List numbers"/>
    <w:basedOn w:val="B3-Listnumbers"/>
    <w:qFormat/>
    <w:rsid w:val="00601451"/>
    <w:pPr>
      <w:pBdr>
        <w:top w:val="single" w:sz="48" w:space="1" w:color="092B57" w:themeColor="text1"/>
        <w:left w:val="single" w:sz="48" w:space="4" w:color="092B57" w:themeColor="text1"/>
        <w:bottom w:val="single" w:sz="48" w:space="1" w:color="092B57" w:themeColor="text1"/>
        <w:right w:val="single" w:sz="48" w:space="4" w:color="092B57" w:themeColor="text1"/>
      </w:pBdr>
      <w:shd w:val="clear" w:color="auto" w:fill="092B57" w:themeFill="accent6"/>
    </w:pPr>
    <w:rPr>
      <w:color w:val="F9C7B1" w:themeColor="accent2" w:themeTint="99"/>
    </w:rPr>
  </w:style>
  <w:style w:type="paragraph" w:customStyle="1" w:styleId="B4-Listbullets">
    <w:name w:val="B4 - List bullets"/>
    <w:basedOn w:val="B3-Listbullets"/>
    <w:qFormat/>
    <w:rsid w:val="00601451"/>
    <w:pPr>
      <w:pBdr>
        <w:top w:val="single" w:sz="48" w:space="1" w:color="092B57" w:themeColor="text1"/>
        <w:left w:val="single" w:sz="48" w:space="4" w:color="092B57" w:themeColor="text1"/>
        <w:bottom w:val="single" w:sz="48" w:space="1" w:color="092B57" w:themeColor="text1"/>
        <w:right w:val="single" w:sz="48" w:space="4" w:color="092B57" w:themeColor="text1"/>
      </w:pBdr>
      <w:shd w:val="clear" w:color="auto" w:fill="092B57" w:themeFill="text1"/>
    </w:pPr>
    <w:rPr>
      <w:color w:val="F9C7B1" w:themeColor="background2" w:themeTint="99"/>
    </w:rPr>
  </w:style>
  <w:style w:type="paragraph" w:customStyle="1" w:styleId="BOXText">
    <w:name w:val="BOX Text"/>
    <w:basedOn w:val="Normal"/>
    <w:uiPriority w:val="4"/>
    <w:qFormat/>
    <w:rsid w:val="00DF2370"/>
    <w:pPr>
      <w:pBdr>
        <w:top w:val="single" w:sz="48" w:space="1" w:color="DEDCED" w:themeColor="accent1" w:themeTint="66"/>
        <w:left w:val="single" w:sz="48" w:space="4" w:color="DEDCED" w:themeColor="accent1" w:themeTint="66"/>
        <w:bottom w:val="single" w:sz="48" w:space="1" w:color="DEDCED" w:themeColor="accent1" w:themeTint="66"/>
        <w:right w:val="single" w:sz="48" w:space="4" w:color="DEDCED" w:themeColor="accent1" w:themeTint="66"/>
      </w:pBdr>
      <w:shd w:val="clear" w:color="auto" w:fill="DEDCED" w:themeFill="accent1" w:themeFillTint="66"/>
      <w:tabs>
        <w:tab w:val="left" w:pos="3300"/>
      </w:tabs>
    </w:pPr>
  </w:style>
  <w:style w:type="paragraph" w:customStyle="1" w:styleId="BulletedList-Level1">
    <w:name w:val="Bulleted List - Level 1"/>
    <w:basedOn w:val="ListParagraph"/>
    <w:uiPriority w:val="1"/>
    <w:qFormat/>
    <w:rsid w:val="00F51A45"/>
    <w:pPr>
      <w:ind w:hanging="360"/>
      <w:contextualSpacing w:val="0"/>
    </w:pPr>
    <w:rPr>
      <w:rFonts w:ascii="Segoe UI" w:hAnsi="Segoe UI" w:cs="Segoe UI"/>
      <w:szCs w:val="24"/>
    </w:rPr>
  </w:style>
  <w:style w:type="paragraph" w:customStyle="1" w:styleId="INFO-S1">
    <w:name w:val="INFO - S1"/>
    <w:basedOn w:val="B2-Heading1"/>
    <w:qFormat/>
    <w:rsid w:val="007A5115"/>
    <w:pPr>
      <w:pBdr>
        <w:top w:val="single" w:sz="48" w:space="2" w:color="E0CCE0" w:themeColor="text2" w:themeTint="66"/>
        <w:left w:val="single" w:sz="48" w:space="6" w:color="E0CCE0" w:themeColor="text2" w:themeTint="66"/>
        <w:bottom w:val="single" w:sz="48" w:space="2" w:color="E0CCE0" w:themeColor="text2" w:themeTint="66"/>
        <w:right w:val="single" w:sz="48" w:space="6" w:color="E0CCE0" w:themeColor="text2" w:themeTint="66"/>
      </w:pBdr>
      <w:ind w:left="454" w:right="454"/>
      <w:jc w:val="center"/>
    </w:pPr>
    <w:rPr>
      <w:b w:val="0"/>
      <w:sz w:val="28"/>
      <w:szCs w:val="28"/>
    </w:rPr>
  </w:style>
  <w:style w:type="paragraph" w:customStyle="1" w:styleId="INFO-S2">
    <w:name w:val="INFO - S2"/>
    <w:basedOn w:val="INFO-S1"/>
    <w:qFormat/>
    <w:rsid w:val="007A5115"/>
    <w:pPr>
      <w:pBdr>
        <w:top w:val="single" w:sz="48" w:space="2" w:color="DEDCED" w:themeColor="accent1" w:themeTint="66"/>
        <w:left w:val="single" w:sz="48" w:space="6" w:color="DEDCED" w:themeColor="accent1" w:themeTint="66"/>
        <w:bottom w:val="single" w:sz="48" w:space="2" w:color="DEDCED" w:themeColor="accent1" w:themeTint="66"/>
        <w:right w:val="single" w:sz="48" w:space="6" w:color="DEDCED" w:themeColor="accent1" w:themeTint="66"/>
      </w:pBdr>
      <w:shd w:val="clear" w:color="auto" w:fill="DEDCED" w:themeFill="accent1" w:themeFillTint="66"/>
    </w:pPr>
  </w:style>
  <w:style w:type="paragraph" w:customStyle="1" w:styleId="INFO-S3">
    <w:name w:val="INFO - S3"/>
    <w:basedOn w:val="INFO-S1"/>
    <w:qFormat/>
    <w:rsid w:val="007A5115"/>
    <w:pPr>
      <w:pBdr>
        <w:top w:val="single" w:sz="48" w:space="2" w:color="F9C0AE" w:themeColor="accent3" w:themeTint="66"/>
        <w:left w:val="single" w:sz="48" w:space="6" w:color="F9C0AE" w:themeColor="accent3" w:themeTint="66"/>
        <w:bottom w:val="single" w:sz="48" w:space="2" w:color="F9C0AE" w:themeColor="accent3" w:themeTint="66"/>
        <w:right w:val="single" w:sz="48" w:space="6" w:color="F9C0AE" w:themeColor="accent3" w:themeTint="66"/>
      </w:pBdr>
      <w:shd w:val="clear" w:color="auto" w:fill="F9C0AE" w:themeFill="accent3" w:themeFillTint="66"/>
    </w:pPr>
  </w:style>
  <w:style w:type="paragraph" w:customStyle="1" w:styleId="INFO-Quote1">
    <w:name w:val="INFO - Quote 1"/>
    <w:basedOn w:val="Quote"/>
    <w:qFormat/>
    <w:rsid w:val="00BC0D7A"/>
    <w:pPr>
      <w:pBdr>
        <w:top w:val="single" w:sz="24" w:space="6" w:color="A0C5F5" w:themeColor="text1" w:themeTint="40"/>
        <w:left w:val="single" w:sz="24" w:space="12" w:color="A0C5F5" w:themeColor="text1" w:themeTint="40"/>
        <w:bottom w:val="single" w:sz="24" w:space="6" w:color="A0C5F5" w:themeColor="text1" w:themeTint="40"/>
        <w:right w:val="single" w:sz="24" w:space="12" w:color="A0C5F5" w:themeColor="text1" w:themeTint="40"/>
      </w:pBdr>
      <w:spacing w:before="0" w:after="120" w:line="240" w:lineRule="auto"/>
    </w:pPr>
    <w:rPr>
      <w:rFonts w:eastAsia="Times New Roman"/>
    </w:rPr>
  </w:style>
  <w:style w:type="paragraph" w:customStyle="1" w:styleId="INFO-Quote2">
    <w:name w:val="INFO - Quote 2"/>
    <w:basedOn w:val="INFO-Quote1"/>
    <w:qFormat/>
    <w:rsid w:val="00BC0D7A"/>
    <w:pPr>
      <w:pBdr>
        <w:top w:val="single" w:sz="24" w:space="6" w:color="8F578F" w:themeColor="text2" w:themeShade="BF"/>
        <w:left w:val="single" w:sz="24" w:space="12" w:color="8F578F" w:themeColor="text2" w:themeShade="BF"/>
        <w:bottom w:val="single" w:sz="24" w:space="6" w:color="8F578F" w:themeColor="text2" w:themeShade="BF"/>
        <w:right w:val="single" w:sz="24" w:space="12" w:color="8F578F" w:themeColor="text2" w:themeShade="BF"/>
      </w:pBdr>
    </w:pPr>
  </w:style>
  <w:style w:type="paragraph" w:customStyle="1" w:styleId="Source">
    <w:name w:val="Source"/>
    <w:basedOn w:val="Normal"/>
    <w:qFormat/>
    <w:rsid w:val="00196773"/>
    <w:pPr>
      <w:spacing w:after="120" w:line="240" w:lineRule="auto"/>
    </w:pPr>
    <w:rPr>
      <w:i/>
      <w:sz w:val="20"/>
    </w:rPr>
  </w:style>
  <w:style w:type="paragraph" w:customStyle="1" w:styleId="B2-Heading3">
    <w:name w:val="B2 - Heading 3"/>
    <w:basedOn w:val="B2-Heading2"/>
    <w:qFormat/>
    <w:rsid w:val="009D296A"/>
    <w:pPr>
      <w:spacing w:after="80"/>
    </w:pPr>
    <w:rPr>
      <w:rFonts w:eastAsia="Segoe UI"/>
      <w:sz w:val="28"/>
      <w:szCs w:val="28"/>
    </w:rPr>
  </w:style>
  <w:style w:type="paragraph" w:customStyle="1" w:styleId="B3-Heading3">
    <w:name w:val="B3 - Heading 3"/>
    <w:basedOn w:val="B3-Heading2"/>
    <w:qFormat/>
    <w:rsid w:val="009D296A"/>
    <w:pPr>
      <w:spacing w:after="80"/>
    </w:pPr>
    <w:rPr>
      <w:rFonts w:eastAsia="Segoe UI"/>
      <w:sz w:val="28"/>
      <w:szCs w:val="28"/>
    </w:rPr>
  </w:style>
  <w:style w:type="paragraph" w:customStyle="1" w:styleId="BoxDark-Text">
    <w:name w:val="Box Dark - Text"/>
    <w:basedOn w:val="BOXText"/>
    <w:uiPriority w:val="7"/>
    <w:rsid w:val="009D296A"/>
    <w:pPr>
      <w:pBdr>
        <w:top w:val="single" w:sz="48" w:space="1" w:color="AEA8D3" w:themeColor="accent1"/>
        <w:left w:val="single" w:sz="48" w:space="4" w:color="AEA8D3" w:themeColor="accent1"/>
        <w:bottom w:val="single" w:sz="48" w:space="1" w:color="AEA8D3" w:themeColor="accent1"/>
        <w:right w:val="single" w:sz="48" w:space="4" w:color="AEA8D3" w:themeColor="accent1"/>
      </w:pBdr>
      <w:shd w:val="clear" w:color="auto" w:fill="AEA8D3" w:themeFill="accent1"/>
    </w:pPr>
    <w:rPr>
      <w:rFonts w:ascii="Segoe UI" w:hAnsi="Segoe UI"/>
    </w:rPr>
  </w:style>
  <w:style w:type="paragraph" w:customStyle="1" w:styleId="B4-Heading3">
    <w:name w:val="B4 - Heading 3"/>
    <w:basedOn w:val="B4-Heading2"/>
    <w:qFormat/>
    <w:rsid w:val="009D296A"/>
    <w:pPr>
      <w:spacing w:after="80"/>
    </w:pPr>
    <w:rPr>
      <w:rFonts w:eastAsia="Segoe UI"/>
      <w:color w:val="F9C7B1" w:themeColor="background2" w:themeTint="99"/>
      <w:sz w:val="28"/>
      <w:szCs w:val="28"/>
    </w:rPr>
  </w:style>
  <w:style w:type="paragraph" w:customStyle="1" w:styleId="shade1-B1Body">
    <w:name w:val="shade 1 - B1 Body"/>
    <w:basedOn w:val="B1-Body"/>
    <w:qFormat/>
    <w:rsid w:val="00563CA1"/>
    <w:pPr>
      <w:pBdr>
        <w:top w:val="single" w:sz="48" w:space="1" w:color="DEDCED" w:themeColor="accent1" w:themeTint="66"/>
        <w:left w:val="single" w:sz="48" w:space="4" w:color="DEDCED" w:themeColor="accent1" w:themeTint="66"/>
        <w:bottom w:val="single" w:sz="48" w:space="1" w:color="DEDCED" w:themeColor="accent1" w:themeTint="66"/>
        <w:right w:val="single" w:sz="48" w:space="4" w:color="DEDCED" w:themeColor="accent1" w:themeTint="66"/>
      </w:pBdr>
      <w:shd w:val="clear" w:color="auto" w:fill="DEDCED" w:themeFill="accent1" w:themeFillTint="66"/>
    </w:pPr>
    <w:rPr>
      <w:rFonts w:eastAsia="Segoe UI"/>
      <w:b/>
    </w:rPr>
  </w:style>
  <w:style w:type="paragraph" w:customStyle="1" w:styleId="Shade2-B1Body">
    <w:name w:val="Shade 2 - B1 Body"/>
    <w:basedOn w:val="shade1-B1Body"/>
    <w:qFormat/>
    <w:rsid w:val="00563CA1"/>
    <w:pPr>
      <w:pBdr>
        <w:top w:val="single" w:sz="48" w:space="1" w:color="CECAE4" w:themeColor="accent1" w:themeTint="99"/>
        <w:left w:val="single" w:sz="48" w:space="4" w:color="CECAE4" w:themeColor="accent1" w:themeTint="99"/>
        <w:bottom w:val="single" w:sz="48" w:space="1" w:color="CECAE4" w:themeColor="accent1" w:themeTint="99"/>
        <w:right w:val="single" w:sz="48" w:space="4" w:color="CECAE4" w:themeColor="accent1" w:themeTint="99"/>
      </w:pBdr>
      <w:shd w:val="clear" w:color="auto" w:fill="CECAE4" w:themeFill="accent1" w:themeFillTint="99"/>
    </w:pPr>
    <w:rPr>
      <w:b w:val="0"/>
    </w:rPr>
  </w:style>
  <w:style w:type="paragraph" w:customStyle="1" w:styleId="Shade3-B1Body">
    <w:name w:val="Shade 3 - B1 Body"/>
    <w:basedOn w:val="Shade2-B1Body"/>
    <w:qFormat/>
    <w:rsid w:val="00563CA1"/>
    <w:pPr>
      <w:pBdr>
        <w:top w:val="single" w:sz="48" w:space="1" w:color="7268B3" w:themeColor="accent1" w:themeShade="BF"/>
        <w:left w:val="single" w:sz="48" w:space="4" w:color="7268B3" w:themeColor="accent1" w:themeShade="BF"/>
        <w:bottom w:val="single" w:sz="48" w:space="1" w:color="7268B3" w:themeColor="accent1" w:themeShade="BF"/>
        <w:right w:val="single" w:sz="48" w:space="4" w:color="7268B3" w:themeColor="accent1" w:themeShade="BF"/>
      </w:pBdr>
      <w:shd w:val="clear" w:color="auto" w:fill="7268B3" w:themeFill="accent1" w:themeFillShade="BF"/>
    </w:pPr>
    <w:rPr>
      <w:color w:val="FFFFFF" w:themeColor="background1"/>
    </w:rPr>
  </w:style>
  <w:style w:type="paragraph" w:customStyle="1" w:styleId="Style2">
    <w:name w:val="Style2"/>
    <w:basedOn w:val="Shade3-B1Body"/>
    <w:qFormat/>
    <w:rsid w:val="00563CA1"/>
    <w:pPr>
      <w:pBdr>
        <w:top w:val="single" w:sz="48" w:space="1" w:color="483F7E" w:themeColor="accent1" w:themeShade="80"/>
        <w:left w:val="single" w:sz="48" w:space="4" w:color="483F7E" w:themeColor="accent1" w:themeShade="80"/>
        <w:bottom w:val="single" w:sz="48" w:space="1" w:color="483F7E" w:themeColor="accent1" w:themeShade="80"/>
        <w:right w:val="single" w:sz="48" w:space="4" w:color="483F7E" w:themeColor="accent1" w:themeShade="80"/>
      </w:pBdr>
      <w:shd w:val="clear" w:color="auto" w:fill="483F7E" w:themeFill="accent1" w:themeFillShade="80"/>
    </w:pPr>
  </w:style>
  <w:style w:type="paragraph" w:customStyle="1" w:styleId="ListBullets-Level1-table">
    <w:name w:val="List Bullets - Level 1 - table"/>
    <w:basedOn w:val="Listbullets-Level1"/>
    <w:qFormat/>
    <w:rsid w:val="00BC41FA"/>
    <w:pPr>
      <w:spacing w:after="40" w:line="240" w:lineRule="auto"/>
      <w:ind w:left="426" w:hanging="284"/>
    </w:pPr>
    <w:rPr>
      <w:sz w:val="18"/>
    </w:rPr>
  </w:style>
  <w:style w:type="paragraph" w:customStyle="1" w:styleId="00-Bodytable">
    <w:name w:val="00 - Body table"/>
    <w:basedOn w:val="Normal"/>
    <w:qFormat/>
    <w:rsid w:val="00BC41FA"/>
    <w:pPr>
      <w:spacing w:after="40" w:line="240" w:lineRule="auto"/>
    </w:pPr>
    <w:rPr>
      <w:rFonts w:cstheme="minorHAnsi"/>
      <w:sz w:val="20"/>
      <w:szCs w:val="18"/>
    </w:rPr>
  </w:style>
  <w:style w:type="paragraph" w:customStyle="1" w:styleId="Style3">
    <w:name w:val="Style3"/>
    <w:basedOn w:val="Heading4"/>
    <w:link w:val="Style3Char"/>
    <w:qFormat/>
    <w:rsid w:val="00012A6F"/>
  </w:style>
  <w:style w:type="character" w:customStyle="1" w:styleId="Style3Char">
    <w:name w:val="Style3 Char"/>
    <w:basedOn w:val="Heading4Char"/>
    <w:link w:val="Style3"/>
    <w:rsid w:val="00012A6F"/>
    <w:rPr>
      <w:rFonts w:eastAsiaTheme="majorEastAsia" w:cstheme="minorHAnsi"/>
      <w:color w:val="092B57" w:themeColor="text1"/>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2454447">
      <w:bodyDiv w:val="1"/>
      <w:marLeft w:val="0"/>
      <w:marRight w:val="0"/>
      <w:marTop w:val="0"/>
      <w:marBottom w:val="0"/>
      <w:divBdr>
        <w:top w:val="none" w:sz="0" w:space="0" w:color="auto"/>
        <w:left w:val="none" w:sz="0" w:space="0" w:color="auto"/>
        <w:bottom w:val="none" w:sz="0" w:space="0" w:color="auto"/>
        <w:right w:val="none" w:sz="0" w:space="0" w:color="auto"/>
      </w:divBdr>
      <w:divsChild>
        <w:div w:id="10844701">
          <w:marLeft w:val="446"/>
          <w:marRight w:val="0"/>
          <w:marTop w:val="0"/>
          <w:marBottom w:val="0"/>
          <w:divBdr>
            <w:top w:val="none" w:sz="0" w:space="0" w:color="auto"/>
            <w:left w:val="none" w:sz="0" w:space="0" w:color="auto"/>
            <w:bottom w:val="none" w:sz="0" w:space="0" w:color="auto"/>
            <w:right w:val="none" w:sz="0" w:space="0" w:color="auto"/>
          </w:divBdr>
        </w:div>
        <w:div w:id="53085906">
          <w:marLeft w:val="446"/>
          <w:marRight w:val="0"/>
          <w:marTop w:val="0"/>
          <w:marBottom w:val="0"/>
          <w:divBdr>
            <w:top w:val="none" w:sz="0" w:space="0" w:color="auto"/>
            <w:left w:val="none" w:sz="0" w:space="0" w:color="auto"/>
            <w:bottom w:val="none" w:sz="0" w:space="0" w:color="auto"/>
            <w:right w:val="none" w:sz="0" w:space="0" w:color="auto"/>
          </w:divBdr>
        </w:div>
        <w:div w:id="123355422">
          <w:marLeft w:val="446"/>
          <w:marRight w:val="0"/>
          <w:marTop w:val="0"/>
          <w:marBottom w:val="0"/>
          <w:divBdr>
            <w:top w:val="none" w:sz="0" w:space="0" w:color="auto"/>
            <w:left w:val="none" w:sz="0" w:space="0" w:color="auto"/>
            <w:bottom w:val="none" w:sz="0" w:space="0" w:color="auto"/>
            <w:right w:val="none" w:sz="0" w:space="0" w:color="auto"/>
          </w:divBdr>
        </w:div>
        <w:div w:id="156501524">
          <w:marLeft w:val="446"/>
          <w:marRight w:val="0"/>
          <w:marTop w:val="0"/>
          <w:marBottom w:val="0"/>
          <w:divBdr>
            <w:top w:val="none" w:sz="0" w:space="0" w:color="auto"/>
            <w:left w:val="none" w:sz="0" w:space="0" w:color="auto"/>
            <w:bottom w:val="none" w:sz="0" w:space="0" w:color="auto"/>
            <w:right w:val="none" w:sz="0" w:space="0" w:color="auto"/>
          </w:divBdr>
        </w:div>
        <w:div w:id="185532504">
          <w:marLeft w:val="446"/>
          <w:marRight w:val="0"/>
          <w:marTop w:val="0"/>
          <w:marBottom w:val="0"/>
          <w:divBdr>
            <w:top w:val="none" w:sz="0" w:space="0" w:color="auto"/>
            <w:left w:val="none" w:sz="0" w:space="0" w:color="auto"/>
            <w:bottom w:val="none" w:sz="0" w:space="0" w:color="auto"/>
            <w:right w:val="none" w:sz="0" w:space="0" w:color="auto"/>
          </w:divBdr>
        </w:div>
        <w:div w:id="241183215">
          <w:marLeft w:val="446"/>
          <w:marRight w:val="0"/>
          <w:marTop w:val="0"/>
          <w:marBottom w:val="0"/>
          <w:divBdr>
            <w:top w:val="none" w:sz="0" w:space="0" w:color="auto"/>
            <w:left w:val="none" w:sz="0" w:space="0" w:color="auto"/>
            <w:bottom w:val="none" w:sz="0" w:space="0" w:color="auto"/>
            <w:right w:val="none" w:sz="0" w:space="0" w:color="auto"/>
          </w:divBdr>
        </w:div>
        <w:div w:id="277417564">
          <w:marLeft w:val="446"/>
          <w:marRight w:val="0"/>
          <w:marTop w:val="0"/>
          <w:marBottom w:val="0"/>
          <w:divBdr>
            <w:top w:val="none" w:sz="0" w:space="0" w:color="auto"/>
            <w:left w:val="none" w:sz="0" w:space="0" w:color="auto"/>
            <w:bottom w:val="none" w:sz="0" w:space="0" w:color="auto"/>
            <w:right w:val="none" w:sz="0" w:space="0" w:color="auto"/>
          </w:divBdr>
        </w:div>
        <w:div w:id="680008384">
          <w:marLeft w:val="446"/>
          <w:marRight w:val="0"/>
          <w:marTop w:val="0"/>
          <w:marBottom w:val="0"/>
          <w:divBdr>
            <w:top w:val="none" w:sz="0" w:space="0" w:color="auto"/>
            <w:left w:val="none" w:sz="0" w:space="0" w:color="auto"/>
            <w:bottom w:val="none" w:sz="0" w:space="0" w:color="auto"/>
            <w:right w:val="none" w:sz="0" w:space="0" w:color="auto"/>
          </w:divBdr>
        </w:div>
        <w:div w:id="701440202">
          <w:marLeft w:val="446"/>
          <w:marRight w:val="0"/>
          <w:marTop w:val="0"/>
          <w:marBottom w:val="0"/>
          <w:divBdr>
            <w:top w:val="none" w:sz="0" w:space="0" w:color="auto"/>
            <w:left w:val="none" w:sz="0" w:space="0" w:color="auto"/>
            <w:bottom w:val="none" w:sz="0" w:space="0" w:color="auto"/>
            <w:right w:val="none" w:sz="0" w:space="0" w:color="auto"/>
          </w:divBdr>
        </w:div>
        <w:div w:id="710804339">
          <w:marLeft w:val="446"/>
          <w:marRight w:val="0"/>
          <w:marTop w:val="0"/>
          <w:marBottom w:val="0"/>
          <w:divBdr>
            <w:top w:val="none" w:sz="0" w:space="0" w:color="auto"/>
            <w:left w:val="none" w:sz="0" w:space="0" w:color="auto"/>
            <w:bottom w:val="none" w:sz="0" w:space="0" w:color="auto"/>
            <w:right w:val="none" w:sz="0" w:space="0" w:color="auto"/>
          </w:divBdr>
        </w:div>
        <w:div w:id="988828023">
          <w:marLeft w:val="446"/>
          <w:marRight w:val="0"/>
          <w:marTop w:val="0"/>
          <w:marBottom w:val="0"/>
          <w:divBdr>
            <w:top w:val="none" w:sz="0" w:space="0" w:color="auto"/>
            <w:left w:val="none" w:sz="0" w:space="0" w:color="auto"/>
            <w:bottom w:val="none" w:sz="0" w:space="0" w:color="auto"/>
            <w:right w:val="none" w:sz="0" w:space="0" w:color="auto"/>
          </w:divBdr>
        </w:div>
        <w:div w:id="1061247881">
          <w:marLeft w:val="446"/>
          <w:marRight w:val="0"/>
          <w:marTop w:val="0"/>
          <w:marBottom w:val="0"/>
          <w:divBdr>
            <w:top w:val="none" w:sz="0" w:space="0" w:color="auto"/>
            <w:left w:val="none" w:sz="0" w:space="0" w:color="auto"/>
            <w:bottom w:val="none" w:sz="0" w:space="0" w:color="auto"/>
            <w:right w:val="none" w:sz="0" w:space="0" w:color="auto"/>
          </w:divBdr>
        </w:div>
        <w:div w:id="1078526505">
          <w:marLeft w:val="446"/>
          <w:marRight w:val="0"/>
          <w:marTop w:val="0"/>
          <w:marBottom w:val="0"/>
          <w:divBdr>
            <w:top w:val="none" w:sz="0" w:space="0" w:color="auto"/>
            <w:left w:val="none" w:sz="0" w:space="0" w:color="auto"/>
            <w:bottom w:val="none" w:sz="0" w:space="0" w:color="auto"/>
            <w:right w:val="none" w:sz="0" w:space="0" w:color="auto"/>
          </w:divBdr>
        </w:div>
        <w:div w:id="1155411379">
          <w:marLeft w:val="446"/>
          <w:marRight w:val="0"/>
          <w:marTop w:val="0"/>
          <w:marBottom w:val="0"/>
          <w:divBdr>
            <w:top w:val="none" w:sz="0" w:space="0" w:color="auto"/>
            <w:left w:val="none" w:sz="0" w:space="0" w:color="auto"/>
            <w:bottom w:val="none" w:sz="0" w:space="0" w:color="auto"/>
            <w:right w:val="none" w:sz="0" w:space="0" w:color="auto"/>
          </w:divBdr>
        </w:div>
        <w:div w:id="1364669465">
          <w:marLeft w:val="446"/>
          <w:marRight w:val="0"/>
          <w:marTop w:val="0"/>
          <w:marBottom w:val="0"/>
          <w:divBdr>
            <w:top w:val="none" w:sz="0" w:space="0" w:color="auto"/>
            <w:left w:val="none" w:sz="0" w:space="0" w:color="auto"/>
            <w:bottom w:val="none" w:sz="0" w:space="0" w:color="auto"/>
            <w:right w:val="none" w:sz="0" w:space="0" w:color="auto"/>
          </w:divBdr>
        </w:div>
        <w:div w:id="1505780532">
          <w:marLeft w:val="446"/>
          <w:marRight w:val="0"/>
          <w:marTop w:val="0"/>
          <w:marBottom w:val="0"/>
          <w:divBdr>
            <w:top w:val="none" w:sz="0" w:space="0" w:color="auto"/>
            <w:left w:val="none" w:sz="0" w:space="0" w:color="auto"/>
            <w:bottom w:val="none" w:sz="0" w:space="0" w:color="auto"/>
            <w:right w:val="none" w:sz="0" w:space="0" w:color="auto"/>
          </w:divBdr>
        </w:div>
        <w:div w:id="1658336396">
          <w:marLeft w:val="446"/>
          <w:marRight w:val="0"/>
          <w:marTop w:val="0"/>
          <w:marBottom w:val="0"/>
          <w:divBdr>
            <w:top w:val="none" w:sz="0" w:space="0" w:color="auto"/>
            <w:left w:val="none" w:sz="0" w:space="0" w:color="auto"/>
            <w:bottom w:val="none" w:sz="0" w:space="0" w:color="auto"/>
            <w:right w:val="none" w:sz="0" w:space="0" w:color="auto"/>
          </w:divBdr>
        </w:div>
        <w:div w:id="1876892266">
          <w:marLeft w:val="446"/>
          <w:marRight w:val="0"/>
          <w:marTop w:val="0"/>
          <w:marBottom w:val="0"/>
          <w:divBdr>
            <w:top w:val="none" w:sz="0" w:space="0" w:color="auto"/>
            <w:left w:val="none" w:sz="0" w:space="0" w:color="auto"/>
            <w:bottom w:val="none" w:sz="0" w:space="0" w:color="auto"/>
            <w:right w:val="none" w:sz="0" w:space="0" w:color="auto"/>
          </w:divBdr>
        </w:div>
        <w:div w:id="1895971097">
          <w:marLeft w:val="446"/>
          <w:marRight w:val="0"/>
          <w:marTop w:val="0"/>
          <w:marBottom w:val="0"/>
          <w:divBdr>
            <w:top w:val="none" w:sz="0" w:space="0" w:color="auto"/>
            <w:left w:val="none" w:sz="0" w:space="0" w:color="auto"/>
            <w:bottom w:val="none" w:sz="0" w:space="0" w:color="auto"/>
            <w:right w:val="none" w:sz="0" w:space="0" w:color="auto"/>
          </w:divBdr>
        </w:div>
        <w:div w:id="2101635075">
          <w:marLeft w:val="446"/>
          <w:marRight w:val="0"/>
          <w:marTop w:val="0"/>
          <w:marBottom w:val="0"/>
          <w:divBdr>
            <w:top w:val="none" w:sz="0" w:space="0" w:color="auto"/>
            <w:left w:val="none" w:sz="0" w:space="0" w:color="auto"/>
            <w:bottom w:val="none" w:sz="0" w:space="0" w:color="auto"/>
            <w:right w:val="none" w:sz="0" w:space="0" w:color="auto"/>
          </w:divBdr>
        </w:div>
        <w:div w:id="2121097758">
          <w:marLeft w:val="446"/>
          <w:marRight w:val="0"/>
          <w:marTop w:val="0"/>
          <w:marBottom w:val="0"/>
          <w:divBdr>
            <w:top w:val="none" w:sz="0" w:space="0" w:color="auto"/>
            <w:left w:val="none" w:sz="0" w:space="0" w:color="auto"/>
            <w:bottom w:val="none" w:sz="0" w:space="0" w:color="auto"/>
            <w:right w:val="none" w:sz="0" w:space="0" w:color="auto"/>
          </w:divBdr>
        </w:div>
      </w:divsChild>
    </w:div>
    <w:div w:id="175468023">
      <w:bodyDiv w:val="1"/>
      <w:marLeft w:val="0"/>
      <w:marRight w:val="0"/>
      <w:marTop w:val="0"/>
      <w:marBottom w:val="0"/>
      <w:divBdr>
        <w:top w:val="none" w:sz="0" w:space="0" w:color="auto"/>
        <w:left w:val="none" w:sz="0" w:space="0" w:color="auto"/>
        <w:bottom w:val="none" w:sz="0" w:space="0" w:color="auto"/>
        <w:right w:val="none" w:sz="0" w:space="0" w:color="auto"/>
      </w:divBdr>
    </w:div>
    <w:div w:id="182016917">
      <w:bodyDiv w:val="1"/>
      <w:marLeft w:val="0"/>
      <w:marRight w:val="0"/>
      <w:marTop w:val="0"/>
      <w:marBottom w:val="0"/>
      <w:divBdr>
        <w:top w:val="none" w:sz="0" w:space="0" w:color="auto"/>
        <w:left w:val="none" w:sz="0" w:space="0" w:color="auto"/>
        <w:bottom w:val="none" w:sz="0" w:space="0" w:color="auto"/>
        <w:right w:val="none" w:sz="0" w:space="0" w:color="auto"/>
      </w:divBdr>
      <w:divsChild>
        <w:div w:id="1087727400">
          <w:marLeft w:val="547"/>
          <w:marRight w:val="0"/>
          <w:marTop w:val="0"/>
          <w:marBottom w:val="0"/>
          <w:divBdr>
            <w:top w:val="none" w:sz="0" w:space="0" w:color="auto"/>
            <w:left w:val="none" w:sz="0" w:space="0" w:color="auto"/>
            <w:bottom w:val="none" w:sz="0" w:space="0" w:color="auto"/>
            <w:right w:val="none" w:sz="0" w:space="0" w:color="auto"/>
          </w:divBdr>
        </w:div>
        <w:div w:id="977343588">
          <w:marLeft w:val="547"/>
          <w:marRight w:val="0"/>
          <w:marTop w:val="0"/>
          <w:marBottom w:val="0"/>
          <w:divBdr>
            <w:top w:val="none" w:sz="0" w:space="0" w:color="auto"/>
            <w:left w:val="none" w:sz="0" w:space="0" w:color="auto"/>
            <w:bottom w:val="none" w:sz="0" w:space="0" w:color="auto"/>
            <w:right w:val="none" w:sz="0" w:space="0" w:color="auto"/>
          </w:divBdr>
        </w:div>
        <w:div w:id="674259149">
          <w:marLeft w:val="547"/>
          <w:marRight w:val="0"/>
          <w:marTop w:val="0"/>
          <w:marBottom w:val="0"/>
          <w:divBdr>
            <w:top w:val="none" w:sz="0" w:space="0" w:color="auto"/>
            <w:left w:val="none" w:sz="0" w:space="0" w:color="auto"/>
            <w:bottom w:val="none" w:sz="0" w:space="0" w:color="auto"/>
            <w:right w:val="none" w:sz="0" w:space="0" w:color="auto"/>
          </w:divBdr>
        </w:div>
        <w:div w:id="1515456176">
          <w:marLeft w:val="547"/>
          <w:marRight w:val="0"/>
          <w:marTop w:val="0"/>
          <w:marBottom w:val="0"/>
          <w:divBdr>
            <w:top w:val="none" w:sz="0" w:space="0" w:color="auto"/>
            <w:left w:val="none" w:sz="0" w:space="0" w:color="auto"/>
            <w:bottom w:val="none" w:sz="0" w:space="0" w:color="auto"/>
            <w:right w:val="none" w:sz="0" w:space="0" w:color="auto"/>
          </w:divBdr>
        </w:div>
      </w:divsChild>
    </w:div>
    <w:div w:id="303120938">
      <w:bodyDiv w:val="1"/>
      <w:marLeft w:val="0"/>
      <w:marRight w:val="0"/>
      <w:marTop w:val="0"/>
      <w:marBottom w:val="0"/>
      <w:divBdr>
        <w:top w:val="none" w:sz="0" w:space="0" w:color="auto"/>
        <w:left w:val="none" w:sz="0" w:space="0" w:color="auto"/>
        <w:bottom w:val="none" w:sz="0" w:space="0" w:color="auto"/>
        <w:right w:val="none" w:sz="0" w:space="0" w:color="auto"/>
      </w:divBdr>
      <w:divsChild>
        <w:div w:id="343440349">
          <w:marLeft w:val="547"/>
          <w:marRight w:val="0"/>
          <w:marTop w:val="0"/>
          <w:marBottom w:val="0"/>
          <w:divBdr>
            <w:top w:val="none" w:sz="0" w:space="0" w:color="auto"/>
            <w:left w:val="none" w:sz="0" w:space="0" w:color="auto"/>
            <w:bottom w:val="none" w:sz="0" w:space="0" w:color="auto"/>
            <w:right w:val="none" w:sz="0" w:space="0" w:color="auto"/>
          </w:divBdr>
        </w:div>
        <w:div w:id="764034621">
          <w:marLeft w:val="547"/>
          <w:marRight w:val="0"/>
          <w:marTop w:val="0"/>
          <w:marBottom w:val="0"/>
          <w:divBdr>
            <w:top w:val="none" w:sz="0" w:space="0" w:color="auto"/>
            <w:left w:val="none" w:sz="0" w:space="0" w:color="auto"/>
            <w:bottom w:val="none" w:sz="0" w:space="0" w:color="auto"/>
            <w:right w:val="none" w:sz="0" w:space="0" w:color="auto"/>
          </w:divBdr>
        </w:div>
        <w:div w:id="859781228">
          <w:marLeft w:val="547"/>
          <w:marRight w:val="0"/>
          <w:marTop w:val="0"/>
          <w:marBottom w:val="0"/>
          <w:divBdr>
            <w:top w:val="none" w:sz="0" w:space="0" w:color="auto"/>
            <w:left w:val="none" w:sz="0" w:space="0" w:color="auto"/>
            <w:bottom w:val="none" w:sz="0" w:space="0" w:color="auto"/>
            <w:right w:val="none" w:sz="0" w:space="0" w:color="auto"/>
          </w:divBdr>
        </w:div>
      </w:divsChild>
    </w:div>
    <w:div w:id="385221189">
      <w:bodyDiv w:val="1"/>
      <w:marLeft w:val="0"/>
      <w:marRight w:val="0"/>
      <w:marTop w:val="0"/>
      <w:marBottom w:val="0"/>
      <w:divBdr>
        <w:top w:val="none" w:sz="0" w:space="0" w:color="auto"/>
        <w:left w:val="none" w:sz="0" w:space="0" w:color="auto"/>
        <w:bottom w:val="none" w:sz="0" w:space="0" w:color="auto"/>
        <w:right w:val="none" w:sz="0" w:space="0" w:color="auto"/>
      </w:divBdr>
    </w:div>
    <w:div w:id="412287836">
      <w:bodyDiv w:val="1"/>
      <w:marLeft w:val="0"/>
      <w:marRight w:val="0"/>
      <w:marTop w:val="0"/>
      <w:marBottom w:val="0"/>
      <w:divBdr>
        <w:top w:val="none" w:sz="0" w:space="0" w:color="auto"/>
        <w:left w:val="none" w:sz="0" w:space="0" w:color="auto"/>
        <w:bottom w:val="none" w:sz="0" w:space="0" w:color="auto"/>
        <w:right w:val="none" w:sz="0" w:space="0" w:color="auto"/>
      </w:divBdr>
      <w:divsChild>
        <w:div w:id="249311741">
          <w:marLeft w:val="547"/>
          <w:marRight w:val="0"/>
          <w:marTop w:val="0"/>
          <w:marBottom w:val="0"/>
          <w:divBdr>
            <w:top w:val="none" w:sz="0" w:space="0" w:color="auto"/>
            <w:left w:val="none" w:sz="0" w:space="0" w:color="auto"/>
            <w:bottom w:val="none" w:sz="0" w:space="0" w:color="auto"/>
            <w:right w:val="none" w:sz="0" w:space="0" w:color="auto"/>
          </w:divBdr>
        </w:div>
        <w:div w:id="2051764260">
          <w:marLeft w:val="547"/>
          <w:marRight w:val="0"/>
          <w:marTop w:val="0"/>
          <w:marBottom w:val="0"/>
          <w:divBdr>
            <w:top w:val="none" w:sz="0" w:space="0" w:color="auto"/>
            <w:left w:val="none" w:sz="0" w:space="0" w:color="auto"/>
            <w:bottom w:val="none" w:sz="0" w:space="0" w:color="auto"/>
            <w:right w:val="none" w:sz="0" w:space="0" w:color="auto"/>
          </w:divBdr>
        </w:div>
        <w:div w:id="357394153">
          <w:marLeft w:val="547"/>
          <w:marRight w:val="0"/>
          <w:marTop w:val="0"/>
          <w:marBottom w:val="0"/>
          <w:divBdr>
            <w:top w:val="none" w:sz="0" w:space="0" w:color="auto"/>
            <w:left w:val="none" w:sz="0" w:space="0" w:color="auto"/>
            <w:bottom w:val="none" w:sz="0" w:space="0" w:color="auto"/>
            <w:right w:val="none" w:sz="0" w:space="0" w:color="auto"/>
          </w:divBdr>
        </w:div>
        <w:div w:id="1054238710">
          <w:marLeft w:val="547"/>
          <w:marRight w:val="0"/>
          <w:marTop w:val="0"/>
          <w:marBottom w:val="0"/>
          <w:divBdr>
            <w:top w:val="none" w:sz="0" w:space="0" w:color="auto"/>
            <w:left w:val="none" w:sz="0" w:space="0" w:color="auto"/>
            <w:bottom w:val="none" w:sz="0" w:space="0" w:color="auto"/>
            <w:right w:val="none" w:sz="0" w:space="0" w:color="auto"/>
          </w:divBdr>
        </w:div>
        <w:div w:id="533276135">
          <w:marLeft w:val="547"/>
          <w:marRight w:val="0"/>
          <w:marTop w:val="0"/>
          <w:marBottom w:val="0"/>
          <w:divBdr>
            <w:top w:val="none" w:sz="0" w:space="0" w:color="auto"/>
            <w:left w:val="none" w:sz="0" w:space="0" w:color="auto"/>
            <w:bottom w:val="none" w:sz="0" w:space="0" w:color="auto"/>
            <w:right w:val="none" w:sz="0" w:space="0" w:color="auto"/>
          </w:divBdr>
        </w:div>
      </w:divsChild>
    </w:div>
    <w:div w:id="425275120">
      <w:bodyDiv w:val="1"/>
      <w:marLeft w:val="0"/>
      <w:marRight w:val="0"/>
      <w:marTop w:val="0"/>
      <w:marBottom w:val="0"/>
      <w:divBdr>
        <w:top w:val="none" w:sz="0" w:space="0" w:color="auto"/>
        <w:left w:val="none" w:sz="0" w:space="0" w:color="auto"/>
        <w:bottom w:val="none" w:sz="0" w:space="0" w:color="auto"/>
        <w:right w:val="none" w:sz="0" w:space="0" w:color="auto"/>
      </w:divBdr>
      <w:divsChild>
        <w:div w:id="1951663029">
          <w:marLeft w:val="547"/>
          <w:marRight w:val="0"/>
          <w:marTop w:val="0"/>
          <w:marBottom w:val="0"/>
          <w:divBdr>
            <w:top w:val="none" w:sz="0" w:space="0" w:color="auto"/>
            <w:left w:val="none" w:sz="0" w:space="0" w:color="auto"/>
            <w:bottom w:val="none" w:sz="0" w:space="0" w:color="auto"/>
            <w:right w:val="none" w:sz="0" w:space="0" w:color="auto"/>
          </w:divBdr>
        </w:div>
        <w:div w:id="867596740">
          <w:marLeft w:val="547"/>
          <w:marRight w:val="0"/>
          <w:marTop w:val="0"/>
          <w:marBottom w:val="0"/>
          <w:divBdr>
            <w:top w:val="none" w:sz="0" w:space="0" w:color="auto"/>
            <w:left w:val="none" w:sz="0" w:space="0" w:color="auto"/>
            <w:bottom w:val="none" w:sz="0" w:space="0" w:color="auto"/>
            <w:right w:val="none" w:sz="0" w:space="0" w:color="auto"/>
          </w:divBdr>
        </w:div>
        <w:div w:id="796724986">
          <w:marLeft w:val="547"/>
          <w:marRight w:val="0"/>
          <w:marTop w:val="0"/>
          <w:marBottom w:val="0"/>
          <w:divBdr>
            <w:top w:val="none" w:sz="0" w:space="0" w:color="auto"/>
            <w:left w:val="none" w:sz="0" w:space="0" w:color="auto"/>
            <w:bottom w:val="none" w:sz="0" w:space="0" w:color="auto"/>
            <w:right w:val="none" w:sz="0" w:space="0" w:color="auto"/>
          </w:divBdr>
        </w:div>
      </w:divsChild>
    </w:div>
    <w:div w:id="438530143">
      <w:bodyDiv w:val="1"/>
      <w:marLeft w:val="0"/>
      <w:marRight w:val="0"/>
      <w:marTop w:val="0"/>
      <w:marBottom w:val="0"/>
      <w:divBdr>
        <w:top w:val="none" w:sz="0" w:space="0" w:color="auto"/>
        <w:left w:val="none" w:sz="0" w:space="0" w:color="auto"/>
        <w:bottom w:val="none" w:sz="0" w:space="0" w:color="auto"/>
        <w:right w:val="none" w:sz="0" w:space="0" w:color="auto"/>
      </w:divBdr>
    </w:div>
    <w:div w:id="462357904">
      <w:bodyDiv w:val="1"/>
      <w:marLeft w:val="0"/>
      <w:marRight w:val="0"/>
      <w:marTop w:val="0"/>
      <w:marBottom w:val="0"/>
      <w:divBdr>
        <w:top w:val="none" w:sz="0" w:space="0" w:color="auto"/>
        <w:left w:val="none" w:sz="0" w:space="0" w:color="auto"/>
        <w:bottom w:val="none" w:sz="0" w:space="0" w:color="auto"/>
        <w:right w:val="none" w:sz="0" w:space="0" w:color="auto"/>
      </w:divBdr>
      <w:divsChild>
        <w:div w:id="1913274120">
          <w:marLeft w:val="547"/>
          <w:marRight w:val="0"/>
          <w:marTop w:val="0"/>
          <w:marBottom w:val="0"/>
          <w:divBdr>
            <w:top w:val="none" w:sz="0" w:space="0" w:color="auto"/>
            <w:left w:val="none" w:sz="0" w:space="0" w:color="auto"/>
            <w:bottom w:val="none" w:sz="0" w:space="0" w:color="auto"/>
            <w:right w:val="none" w:sz="0" w:space="0" w:color="auto"/>
          </w:divBdr>
        </w:div>
        <w:div w:id="1253781509">
          <w:marLeft w:val="547"/>
          <w:marRight w:val="0"/>
          <w:marTop w:val="0"/>
          <w:marBottom w:val="0"/>
          <w:divBdr>
            <w:top w:val="none" w:sz="0" w:space="0" w:color="auto"/>
            <w:left w:val="none" w:sz="0" w:space="0" w:color="auto"/>
            <w:bottom w:val="none" w:sz="0" w:space="0" w:color="auto"/>
            <w:right w:val="none" w:sz="0" w:space="0" w:color="auto"/>
          </w:divBdr>
        </w:div>
        <w:div w:id="140343235">
          <w:marLeft w:val="547"/>
          <w:marRight w:val="0"/>
          <w:marTop w:val="0"/>
          <w:marBottom w:val="0"/>
          <w:divBdr>
            <w:top w:val="none" w:sz="0" w:space="0" w:color="auto"/>
            <w:left w:val="none" w:sz="0" w:space="0" w:color="auto"/>
            <w:bottom w:val="none" w:sz="0" w:space="0" w:color="auto"/>
            <w:right w:val="none" w:sz="0" w:space="0" w:color="auto"/>
          </w:divBdr>
        </w:div>
      </w:divsChild>
    </w:div>
    <w:div w:id="472672942">
      <w:bodyDiv w:val="1"/>
      <w:marLeft w:val="0"/>
      <w:marRight w:val="0"/>
      <w:marTop w:val="0"/>
      <w:marBottom w:val="0"/>
      <w:divBdr>
        <w:top w:val="none" w:sz="0" w:space="0" w:color="auto"/>
        <w:left w:val="none" w:sz="0" w:space="0" w:color="auto"/>
        <w:bottom w:val="none" w:sz="0" w:space="0" w:color="auto"/>
        <w:right w:val="none" w:sz="0" w:space="0" w:color="auto"/>
      </w:divBdr>
      <w:divsChild>
        <w:div w:id="2052028886">
          <w:marLeft w:val="547"/>
          <w:marRight w:val="0"/>
          <w:marTop w:val="0"/>
          <w:marBottom w:val="0"/>
          <w:divBdr>
            <w:top w:val="none" w:sz="0" w:space="0" w:color="auto"/>
            <w:left w:val="none" w:sz="0" w:space="0" w:color="auto"/>
            <w:bottom w:val="none" w:sz="0" w:space="0" w:color="auto"/>
            <w:right w:val="none" w:sz="0" w:space="0" w:color="auto"/>
          </w:divBdr>
        </w:div>
        <w:div w:id="1746102130">
          <w:marLeft w:val="547"/>
          <w:marRight w:val="0"/>
          <w:marTop w:val="0"/>
          <w:marBottom w:val="0"/>
          <w:divBdr>
            <w:top w:val="none" w:sz="0" w:space="0" w:color="auto"/>
            <w:left w:val="none" w:sz="0" w:space="0" w:color="auto"/>
            <w:bottom w:val="none" w:sz="0" w:space="0" w:color="auto"/>
            <w:right w:val="none" w:sz="0" w:space="0" w:color="auto"/>
          </w:divBdr>
        </w:div>
        <w:div w:id="1838304650">
          <w:marLeft w:val="547"/>
          <w:marRight w:val="0"/>
          <w:marTop w:val="0"/>
          <w:marBottom w:val="0"/>
          <w:divBdr>
            <w:top w:val="none" w:sz="0" w:space="0" w:color="auto"/>
            <w:left w:val="none" w:sz="0" w:space="0" w:color="auto"/>
            <w:bottom w:val="none" w:sz="0" w:space="0" w:color="auto"/>
            <w:right w:val="none" w:sz="0" w:space="0" w:color="auto"/>
          </w:divBdr>
        </w:div>
        <w:div w:id="302857527">
          <w:marLeft w:val="547"/>
          <w:marRight w:val="0"/>
          <w:marTop w:val="0"/>
          <w:marBottom w:val="0"/>
          <w:divBdr>
            <w:top w:val="none" w:sz="0" w:space="0" w:color="auto"/>
            <w:left w:val="none" w:sz="0" w:space="0" w:color="auto"/>
            <w:bottom w:val="none" w:sz="0" w:space="0" w:color="auto"/>
            <w:right w:val="none" w:sz="0" w:space="0" w:color="auto"/>
          </w:divBdr>
        </w:div>
        <w:div w:id="1474641134">
          <w:marLeft w:val="547"/>
          <w:marRight w:val="0"/>
          <w:marTop w:val="0"/>
          <w:marBottom w:val="0"/>
          <w:divBdr>
            <w:top w:val="none" w:sz="0" w:space="0" w:color="auto"/>
            <w:left w:val="none" w:sz="0" w:space="0" w:color="auto"/>
            <w:bottom w:val="none" w:sz="0" w:space="0" w:color="auto"/>
            <w:right w:val="none" w:sz="0" w:space="0" w:color="auto"/>
          </w:divBdr>
        </w:div>
      </w:divsChild>
    </w:div>
    <w:div w:id="501090225">
      <w:bodyDiv w:val="1"/>
      <w:marLeft w:val="0"/>
      <w:marRight w:val="0"/>
      <w:marTop w:val="0"/>
      <w:marBottom w:val="0"/>
      <w:divBdr>
        <w:top w:val="none" w:sz="0" w:space="0" w:color="auto"/>
        <w:left w:val="none" w:sz="0" w:space="0" w:color="auto"/>
        <w:bottom w:val="none" w:sz="0" w:space="0" w:color="auto"/>
        <w:right w:val="none" w:sz="0" w:space="0" w:color="auto"/>
      </w:divBdr>
    </w:div>
    <w:div w:id="517545589">
      <w:bodyDiv w:val="1"/>
      <w:marLeft w:val="0"/>
      <w:marRight w:val="0"/>
      <w:marTop w:val="0"/>
      <w:marBottom w:val="0"/>
      <w:divBdr>
        <w:top w:val="none" w:sz="0" w:space="0" w:color="auto"/>
        <w:left w:val="none" w:sz="0" w:space="0" w:color="auto"/>
        <w:bottom w:val="none" w:sz="0" w:space="0" w:color="auto"/>
        <w:right w:val="none" w:sz="0" w:space="0" w:color="auto"/>
      </w:divBdr>
    </w:div>
    <w:div w:id="595483711">
      <w:bodyDiv w:val="1"/>
      <w:marLeft w:val="0"/>
      <w:marRight w:val="0"/>
      <w:marTop w:val="0"/>
      <w:marBottom w:val="0"/>
      <w:divBdr>
        <w:top w:val="none" w:sz="0" w:space="0" w:color="auto"/>
        <w:left w:val="none" w:sz="0" w:space="0" w:color="auto"/>
        <w:bottom w:val="none" w:sz="0" w:space="0" w:color="auto"/>
        <w:right w:val="none" w:sz="0" w:space="0" w:color="auto"/>
      </w:divBdr>
      <w:divsChild>
        <w:div w:id="1221332259">
          <w:marLeft w:val="547"/>
          <w:marRight w:val="0"/>
          <w:marTop w:val="0"/>
          <w:marBottom w:val="0"/>
          <w:divBdr>
            <w:top w:val="none" w:sz="0" w:space="0" w:color="auto"/>
            <w:left w:val="none" w:sz="0" w:space="0" w:color="auto"/>
            <w:bottom w:val="none" w:sz="0" w:space="0" w:color="auto"/>
            <w:right w:val="none" w:sz="0" w:space="0" w:color="auto"/>
          </w:divBdr>
        </w:div>
        <w:div w:id="340934988">
          <w:marLeft w:val="547"/>
          <w:marRight w:val="0"/>
          <w:marTop w:val="0"/>
          <w:marBottom w:val="0"/>
          <w:divBdr>
            <w:top w:val="none" w:sz="0" w:space="0" w:color="auto"/>
            <w:left w:val="none" w:sz="0" w:space="0" w:color="auto"/>
            <w:bottom w:val="none" w:sz="0" w:space="0" w:color="auto"/>
            <w:right w:val="none" w:sz="0" w:space="0" w:color="auto"/>
          </w:divBdr>
        </w:div>
      </w:divsChild>
    </w:div>
    <w:div w:id="707484609">
      <w:bodyDiv w:val="1"/>
      <w:marLeft w:val="0"/>
      <w:marRight w:val="0"/>
      <w:marTop w:val="0"/>
      <w:marBottom w:val="0"/>
      <w:divBdr>
        <w:top w:val="none" w:sz="0" w:space="0" w:color="auto"/>
        <w:left w:val="none" w:sz="0" w:space="0" w:color="auto"/>
        <w:bottom w:val="none" w:sz="0" w:space="0" w:color="auto"/>
        <w:right w:val="none" w:sz="0" w:space="0" w:color="auto"/>
      </w:divBdr>
      <w:divsChild>
        <w:div w:id="1253394884">
          <w:marLeft w:val="547"/>
          <w:marRight w:val="0"/>
          <w:marTop w:val="0"/>
          <w:marBottom w:val="0"/>
          <w:divBdr>
            <w:top w:val="none" w:sz="0" w:space="0" w:color="auto"/>
            <w:left w:val="none" w:sz="0" w:space="0" w:color="auto"/>
            <w:bottom w:val="none" w:sz="0" w:space="0" w:color="auto"/>
            <w:right w:val="none" w:sz="0" w:space="0" w:color="auto"/>
          </w:divBdr>
        </w:div>
        <w:div w:id="1309632597">
          <w:marLeft w:val="547"/>
          <w:marRight w:val="0"/>
          <w:marTop w:val="0"/>
          <w:marBottom w:val="0"/>
          <w:divBdr>
            <w:top w:val="none" w:sz="0" w:space="0" w:color="auto"/>
            <w:left w:val="none" w:sz="0" w:space="0" w:color="auto"/>
            <w:bottom w:val="none" w:sz="0" w:space="0" w:color="auto"/>
            <w:right w:val="none" w:sz="0" w:space="0" w:color="auto"/>
          </w:divBdr>
        </w:div>
      </w:divsChild>
    </w:div>
    <w:div w:id="721102946">
      <w:bodyDiv w:val="1"/>
      <w:marLeft w:val="0"/>
      <w:marRight w:val="0"/>
      <w:marTop w:val="0"/>
      <w:marBottom w:val="0"/>
      <w:divBdr>
        <w:top w:val="none" w:sz="0" w:space="0" w:color="auto"/>
        <w:left w:val="none" w:sz="0" w:space="0" w:color="auto"/>
        <w:bottom w:val="none" w:sz="0" w:space="0" w:color="auto"/>
        <w:right w:val="none" w:sz="0" w:space="0" w:color="auto"/>
      </w:divBdr>
    </w:div>
    <w:div w:id="741676888">
      <w:bodyDiv w:val="1"/>
      <w:marLeft w:val="0"/>
      <w:marRight w:val="0"/>
      <w:marTop w:val="0"/>
      <w:marBottom w:val="0"/>
      <w:divBdr>
        <w:top w:val="none" w:sz="0" w:space="0" w:color="auto"/>
        <w:left w:val="none" w:sz="0" w:space="0" w:color="auto"/>
        <w:bottom w:val="none" w:sz="0" w:space="0" w:color="auto"/>
        <w:right w:val="none" w:sz="0" w:space="0" w:color="auto"/>
      </w:divBdr>
    </w:div>
    <w:div w:id="767195964">
      <w:bodyDiv w:val="1"/>
      <w:marLeft w:val="0"/>
      <w:marRight w:val="0"/>
      <w:marTop w:val="0"/>
      <w:marBottom w:val="0"/>
      <w:divBdr>
        <w:top w:val="none" w:sz="0" w:space="0" w:color="auto"/>
        <w:left w:val="none" w:sz="0" w:space="0" w:color="auto"/>
        <w:bottom w:val="none" w:sz="0" w:space="0" w:color="auto"/>
        <w:right w:val="none" w:sz="0" w:space="0" w:color="auto"/>
      </w:divBdr>
      <w:divsChild>
        <w:div w:id="176040073">
          <w:marLeft w:val="547"/>
          <w:marRight w:val="0"/>
          <w:marTop w:val="0"/>
          <w:marBottom w:val="0"/>
          <w:divBdr>
            <w:top w:val="none" w:sz="0" w:space="0" w:color="auto"/>
            <w:left w:val="none" w:sz="0" w:space="0" w:color="auto"/>
            <w:bottom w:val="none" w:sz="0" w:space="0" w:color="auto"/>
            <w:right w:val="none" w:sz="0" w:space="0" w:color="auto"/>
          </w:divBdr>
        </w:div>
      </w:divsChild>
    </w:div>
    <w:div w:id="873733085">
      <w:bodyDiv w:val="1"/>
      <w:marLeft w:val="0"/>
      <w:marRight w:val="0"/>
      <w:marTop w:val="0"/>
      <w:marBottom w:val="0"/>
      <w:divBdr>
        <w:top w:val="none" w:sz="0" w:space="0" w:color="auto"/>
        <w:left w:val="none" w:sz="0" w:space="0" w:color="auto"/>
        <w:bottom w:val="none" w:sz="0" w:space="0" w:color="auto"/>
        <w:right w:val="none" w:sz="0" w:space="0" w:color="auto"/>
      </w:divBdr>
      <w:divsChild>
        <w:div w:id="1901818546">
          <w:marLeft w:val="547"/>
          <w:marRight w:val="0"/>
          <w:marTop w:val="0"/>
          <w:marBottom w:val="0"/>
          <w:divBdr>
            <w:top w:val="none" w:sz="0" w:space="0" w:color="auto"/>
            <w:left w:val="none" w:sz="0" w:space="0" w:color="auto"/>
            <w:bottom w:val="none" w:sz="0" w:space="0" w:color="auto"/>
            <w:right w:val="none" w:sz="0" w:space="0" w:color="auto"/>
          </w:divBdr>
        </w:div>
      </w:divsChild>
    </w:div>
    <w:div w:id="921380365">
      <w:bodyDiv w:val="1"/>
      <w:marLeft w:val="0"/>
      <w:marRight w:val="0"/>
      <w:marTop w:val="0"/>
      <w:marBottom w:val="0"/>
      <w:divBdr>
        <w:top w:val="none" w:sz="0" w:space="0" w:color="auto"/>
        <w:left w:val="none" w:sz="0" w:space="0" w:color="auto"/>
        <w:bottom w:val="none" w:sz="0" w:space="0" w:color="auto"/>
        <w:right w:val="none" w:sz="0" w:space="0" w:color="auto"/>
      </w:divBdr>
    </w:div>
    <w:div w:id="929852146">
      <w:bodyDiv w:val="1"/>
      <w:marLeft w:val="0"/>
      <w:marRight w:val="0"/>
      <w:marTop w:val="0"/>
      <w:marBottom w:val="0"/>
      <w:divBdr>
        <w:top w:val="none" w:sz="0" w:space="0" w:color="auto"/>
        <w:left w:val="none" w:sz="0" w:space="0" w:color="auto"/>
        <w:bottom w:val="none" w:sz="0" w:space="0" w:color="auto"/>
        <w:right w:val="none" w:sz="0" w:space="0" w:color="auto"/>
      </w:divBdr>
    </w:div>
    <w:div w:id="934435766">
      <w:bodyDiv w:val="1"/>
      <w:marLeft w:val="0"/>
      <w:marRight w:val="0"/>
      <w:marTop w:val="0"/>
      <w:marBottom w:val="0"/>
      <w:divBdr>
        <w:top w:val="none" w:sz="0" w:space="0" w:color="auto"/>
        <w:left w:val="none" w:sz="0" w:space="0" w:color="auto"/>
        <w:bottom w:val="none" w:sz="0" w:space="0" w:color="auto"/>
        <w:right w:val="none" w:sz="0" w:space="0" w:color="auto"/>
      </w:divBdr>
    </w:div>
    <w:div w:id="1056440472">
      <w:bodyDiv w:val="1"/>
      <w:marLeft w:val="0"/>
      <w:marRight w:val="0"/>
      <w:marTop w:val="0"/>
      <w:marBottom w:val="0"/>
      <w:divBdr>
        <w:top w:val="none" w:sz="0" w:space="0" w:color="auto"/>
        <w:left w:val="none" w:sz="0" w:space="0" w:color="auto"/>
        <w:bottom w:val="none" w:sz="0" w:space="0" w:color="auto"/>
        <w:right w:val="none" w:sz="0" w:space="0" w:color="auto"/>
      </w:divBdr>
      <w:divsChild>
        <w:div w:id="630986938">
          <w:marLeft w:val="547"/>
          <w:marRight w:val="0"/>
          <w:marTop w:val="0"/>
          <w:marBottom w:val="0"/>
          <w:divBdr>
            <w:top w:val="none" w:sz="0" w:space="0" w:color="auto"/>
            <w:left w:val="none" w:sz="0" w:space="0" w:color="auto"/>
            <w:bottom w:val="none" w:sz="0" w:space="0" w:color="auto"/>
            <w:right w:val="none" w:sz="0" w:space="0" w:color="auto"/>
          </w:divBdr>
        </w:div>
        <w:div w:id="1561361772">
          <w:marLeft w:val="547"/>
          <w:marRight w:val="0"/>
          <w:marTop w:val="0"/>
          <w:marBottom w:val="0"/>
          <w:divBdr>
            <w:top w:val="none" w:sz="0" w:space="0" w:color="auto"/>
            <w:left w:val="none" w:sz="0" w:space="0" w:color="auto"/>
            <w:bottom w:val="none" w:sz="0" w:space="0" w:color="auto"/>
            <w:right w:val="none" w:sz="0" w:space="0" w:color="auto"/>
          </w:divBdr>
        </w:div>
        <w:div w:id="920528343">
          <w:marLeft w:val="547"/>
          <w:marRight w:val="0"/>
          <w:marTop w:val="0"/>
          <w:marBottom w:val="0"/>
          <w:divBdr>
            <w:top w:val="none" w:sz="0" w:space="0" w:color="auto"/>
            <w:left w:val="none" w:sz="0" w:space="0" w:color="auto"/>
            <w:bottom w:val="none" w:sz="0" w:space="0" w:color="auto"/>
            <w:right w:val="none" w:sz="0" w:space="0" w:color="auto"/>
          </w:divBdr>
        </w:div>
      </w:divsChild>
    </w:div>
    <w:div w:id="1058168009">
      <w:bodyDiv w:val="1"/>
      <w:marLeft w:val="0"/>
      <w:marRight w:val="0"/>
      <w:marTop w:val="0"/>
      <w:marBottom w:val="0"/>
      <w:divBdr>
        <w:top w:val="none" w:sz="0" w:space="0" w:color="auto"/>
        <w:left w:val="none" w:sz="0" w:space="0" w:color="auto"/>
        <w:bottom w:val="none" w:sz="0" w:space="0" w:color="auto"/>
        <w:right w:val="none" w:sz="0" w:space="0" w:color="auto"/>
      </w:divBdr>
      <w:divsChild>
        <w:div w:id="1253316646">
          <w:marLeft w:val="547"/>
          <w:marRight w:val="0"/>
          <w:marTop w:val="0"/>
          <w:marBottom w:val="0"/>
          <w:divBdr>
            <w:top w:val="none" w:sz="0" w:space="0" w:color="auto"/>
            <w:left w:val="none" w:sz="0" w:space="0" w:color="auto"/>
            <w:bottom w:val="none" w:sz="0" w:space="0" w:color="auto"/>
            <w:right w:val="none" w:sz="0" w:space="0" w:color="auto"/>
          </w:divBdr>
        </w:div>
        <w:div w:id="1629124017">
          <w:marLeft w:val="547"/>
          <w:marRight w:val="0"/>
          <w:marTop w:val="0"/>
          <w:marBottom w:val="0"/>
          <w:divBdr>
            <w:top w:val="none" w:sz="0" w:space="0" w:color="auto"/>
            <w:left w:val="none" w:sz="0" w:space="0" w:color="auto"/>
            <w:bottom w:val="none" w:sz="0" w:space="0" w:color="auto"/>
            <w:right w:val="none" w:sz="0" w:space="0" w:color="auto"/>
          </w:divBdr>
        </w:div>
      </w:divsChild>
    </w:div>
    <w:div w:id="1181507895">
      <w:bodyDiv w:val="1"/>
      <w:marLeft w:val="0"/>
      <w:marRight w:val="0"/>
      <w:marTop w:val="0"/>
      <w:marBottom w:val="0"/>
      <w:divBdr>
        <w:top w:val="none" w:sz="0" w:space="0" w:color="auto"/>
        <w:left w:val="none" w:sz="0" w:space="0" w:color="auto"/>
        <w:bottom w:val="none" w:sz="0" w:space="0" w:color="auto"/>
        <w:right w:val="none" w:sz="0" w:space="0" w:color="auto"/>
      </w:divBdr>
      <w:divsChild>
        <w:div w:id="709106875">
          <w:marLeft w:val="547"/>
          <w:marRight w:val="0"/>
          <w:marTop w:val="0"/>
          <w:marBottom w:val="0"/>
          <w:divBdr>
            <w:top w:val="none" w:sz="0" w:space="0" w:color="auto"/>
            <w:left w:val="none" w:sz="0" w:space="0" w:color="auto"/>
            <w:bottom w:val="none" w:sz="0" w:space="0" w:color="auto"/>
            <w:right w:val="none" w:sz="0" w:space="0" w:color="auto"/>
          </w:divBdr>
        </w:div>
      </w:divsChild>
    </w:div>
    <w:div w:id="1186941926">
      <w:bodyDiv w:val="1"/>
      <w:marLeft w:val="0"/>
      <w:marRight w:val="0"/>
      <w:marTop w:val="0"/>
      <w:marBottom w:val="0"/>
      <w:divBdr>
        <w:top w:val="none" w:sz="0" w:space="0" w:color="auto"/>
        <w:left w:val="none" w:sz="0" w:space="0" w:color="auto"/>
        <w:bottom w:val="none" w:sz="0" w:space="0" w:color="auto"/>
        <w:right w:val="none" w:sz="0" w:space="0" w:color="auto"/>
      </w:divBdr>
      <w:divsChild>
        <w:div w:id="238059480">
          <w:marLeft w:val="547"/>
          <w:marRight w:val="0"/>
          <w:marTop w:val="0"/>
          <w:marBottom w:val="0"/>
          <w:divBdr>
            <w:top w:val="none" w:sz="0" w:space="0" w:color="auto"/>
            <w:left w:val="none" w:sz="0" w:space="0" w:color="auto"/>
            <w:bottom w:val="none" w:sz="0" w:space="0" w:color="auto"/>
            <w:right w:val="none" w:sz="0" w:space="0" w:color="auto"/>
          </w:divBdr>
        </w:div>
        <w:div w:id="79908994">
          <w:marLeft w:val="547"/>
          <w:marRight w:val="0"/>
          <w:marTop w:val="0"/>
          <w:marBottom w:val="0"/>
          <w:divBdr>
            <w:top w:val="none" w:sz="0" w:space="0" w:color="auto"/>
            <w:left w:val="none" w:sz="0" w:space="0" w:color="auto"/>
            <w:bottom w:val="none" w:sz="0" w:space="0" w:color="auto"/>
            <w:right w:val="none" w:sz="0" w:space="0" w:color="auto"/>
          </w:divBdr>
        </w:div>
        <w:div w:id="79447317">
          <w:marLeft w:val="547"/>
          <w:marRight w:val="0"/>
          <w:marTop w:val="0"/>
          <w:marBottom w:val="0"/>
          <w:divBdr>
            <w:top w:val="none" w:sz="0" w:space="0" w:color="auto"/>
            <w:left w:val="none" w:sz="0" w:space="0" w:color="auto"/>
            <w:bottom w:val="none" w:sz="0" w:space="0" w:color="auto"/>
            <w:right w:val="none" w:sz="0" w:space="0" w:color="auto"/>
          </w:divBdr>
        </w:div>
      </w:divsChild>
    </w:div>
    <w:div w:id="1224213260">
      <w:bodyDiv w:val="1"/>
      <w:marLeft w:val="0"/>
      <w:marRight w:val="0"/>
      <w:marTop w:val="0"/>
      <w:marBottom w:val="0"/>
      <w:divBdr>
        <w:top w:val="none" w:sz="0" w:space="0" w:color="auto"/>
        <w:left w:val="none" w:sz="0" w:space="0" w:color="auto"/>
        <w:bottom w:val="none" w:sz="0" w:space="0" w:color="auto"/>
        <w:right w:val="none" w:sz="0" w:space="0" w:color="auto"/>
      </w:divBdr>
      <w:divsChild>
        <w:div w:id="1774133062">
          <w:marLeft w:val="547"/>
          <w:marRight w:val="0"/>
          <w:marTop w:val="0"/>
          <w:marBottom w:val="0"/>
          <w:divBdr>
            <w:top w:val="none" w:sz="0" w:space="0" w:color="auto"/>
            <w:left w:val="none" w:sz="0" w:space="0" w:color="auto"/>
            <w:bottom w:val="none" w:sz="0" w:space="0" w:color="auto"/>
            <w:right w:val="none" w:sz="0" w:space="0" w:color="auto"/>
          </w:divBdr>
        </w:div>
        <w:div w:id="111636436">
          <w:marLeft w:val="547"/>
          <w:marRight w:val="0"/>
          <w:marTop w:val="0"/>
          <w:marBottom w:val="0"/>
          <w:divBdr>
            <w:top w:val="none" w:sz="0" w:space="0" w:color="auto"/>
            <w:left w:val="none" w:sz="0" w:space="0" w:color="auto"/>
            <w:bottom w:val="none" w:sz="0" w:space="0" w:color="auto"/>
            <w:right w:val="none" w:sz="0" w:space="0" w:color="auto"/>
          </w:divBdr>
        </w:div>
      </w:divsChild>
    </w:div>
    <w:div w:id="1226990983">
      <w:bodyDiv w:val="1"/>
      <w:marLeft w:val="0"/>
      <w:marRight w:val="0"/>
      <w:marTop w:val="0"/>
      <w:marBottom w:val="0"/>
      <w:divBdr>
        <w:top w:val="none" w:sz="0" w:space="0" w:color="auto"/>
        <w:left w:val="none" w:sz="0" w:space="0" w:color="auto"/>
        <w:bottom w:val="none" w:sz="0" w:space="0" w:color="auto"/>
        <w:right w:val="none" w:sz="0" w:space="0" w:color="auto"/>
      </w:divBdr>
      <w:divsChild>
        <w:div w:id="1943759509">
          <w:marLeft w:val="547"/>
          <w:marRight w:val="0"/>
          <w:marTop w:val="0"/>
          <w:marBottom w:val="0"/>
          <w:divBdr>
            <w:top w:val="none" w:sz="0" w:space="0" w:color="auto"/>
            <w:left w:val="none" w:sz="0" w:space="0" w:color="auto"/>
            <w:bottom w:val="none" w:sz="0" w:space="0" w:color="auto"/>
            <w:right w:val="none" w:sz="0" w:space="0" w:color="auto"/>
          </w:divBdr>
        </w:div>
        <w:div w:id="1674062368">
          <w:marLeft w:val="547"/>
          <w:marRight w:val="0"/>
          <w:marTop w:val="0"/>
          <w:marBottom w:val="0"/>
          <w:divBdr>
            <w:top w:val="none" w:sz="0" w:space="0" w:color="auto"/>
            <w:left w:val="none" w:sz="0" w:space="0" w:color="auto"/>
            <w:bottom w:val="none" w:sz="0" w:space="0" w:color="auto"/>
            <w:right w:val="none" w:sz="0" w:space="0" w:color="auto"/>
          </w:divBdr>
        </w:div>
        <w:div w:id="1269969739">
          <w:marLeft w:val="547"/>
          <w:marRight w:val="0"/>
          <w:marTop w:val="0"/>
          <w:marBottom w:val="0"/>
          <w:divBdr>
            <w:top w:val="none" w:sz="0" w:space="0" w:color="auto"/>
            <w:left w:val="none" w:sz="0" w:space="0" w:color="auto"/>
            <w:bottom w:val="none" w:sz="0" w:space="0" w:color="auto"/>
            <w:right w:val="none" w:sz="0" w:space="0" w:color="auto"/>
          </w:divBdr>
        </w:div>
      </w:divsChild>
    </w:div>
    <w:div w:id="1291475804">
      <w:bodyDiv w:val="1"/>
      <w:marLeft w:val="0"/>
      <w:marRight w:val="0"/>
      <w:marTop w:val="0"/>
      <w:marBottom w:val="0"/>
      <w:divBdr>
        <w:top w:val="none" w:sz="0" w:space="0" w:color="auto"/>
        <w:left w:val="none" w:sz="0" w:space="0" w:color="auto"/>
        <w:bottom w:val="none" w:sz="0" w:space="0" w:color="auto"/>
        <w:right w:val="none" w:sz="0" w:space="0" w:color="auto"/>
      </w:divBdr>
      <w:divsChild>
        <w:div w:id="886525129">
          <w:marLeft w:val="547"/>
          <w:marRight w:val="0"/>
          <w:marTop w:val="0"/>
          <w:marBottom w:val="0"/>
          <w:divBdr>
            <w:top w:val="none" w:sz="0" w:space="0" w:color="auto"/>
            <w:left w:val="none" w:sz="0" w:space="0" w:color="auto"/>
            <w:bottom w:val="none" w:sz="0" w:space="0" w:color="auto"/>
            <w:right w:val="none" w:sz="0" w:space="0" w:color="auto"/>
          </w:divBdr>
        </w:div>
      </w:divsChild>
    </w:div>
    <w:div w:id="1386106118">
      <w:bodyDiv w:val="1"/>
      <w:marLeft w:val="0"/>
      <w:marRight w:val="0"/>
      <w:marTop w:val="0"/>
      <w:marBottom w:val="0"/>
      <w:divBdr>
        <w:top w:val="none" w:sz="0" w:space="0" w:color="auto"/>
        <w:left w:val="none" w:sz="0" w:space="0" w:color="auto"/>
        <w:bottom w:val="none" w:sz="0" w:space="0" w:color="auto"/>
        <w:right w:val="none" w:sz="0" w:space="0" w:color="auto"/>
      </w:divBdr>
    </w:div>
    <w:div w:id="1497109048">
      <w:bodyDiv w:val="1"/>
      <w:marLeft w:val="0"/>
      <w:marRight w:val="0"/>
      <w:marTop w:val="0"/>
      <w:marBottom w:val="0"/>
      <w:divBdr>
        <w:top w:val="none" w:sz="0" w:space="0" w:color="auto"/>
        <w:left w:val="none" w:sz="0" w:space="0" w:color="auto"/>
        <w:bottom w:val="none" w:sz="0" w:space="0" w:color="auto"/>
        <w:right w:val="none" w:sz="0" w:space="0" w:color="auto"/>
      </w:divBdr>
    </w:div>
    <w:div w:id="1524127405">
      <w:bodyDiv w:val="1"/>
      <w:marLeft w:val="0"/>
      <w:marRight w:val="0"/>
      <w:marTop w:val="0"/>
      <w:marBottom w:val="0"/>
      <w:divBdr>
        <w:top w:val="none" w:sz="0" w:space="0" w:color="auto"/>
        <w:left w:val="none" w:sz="0" w:space="0" w:color="auto"/>
        <w:bottom w:val="none" w:sz="0" w:space="0" w:color="auto"/>
        <w:right w:val="none" w:sz="0" w:space="0" w:color="auto"/>
      </w:divBdr>
      <w:divsChild>
        <w:div w:id="35815048">
          <w:marLeft w:val="446"/>
          <w:marRight w:val="0"/>
          <w:marTop w:val="0"/>
          <w:marBottom w:val="0"/>
          <w:divBdr>
            <w:top w:val="none" w:sz="0" w:space="0" w:color="auto"/>
            <w:left w:val="none" w:sz="0" w:space="0" w:color="auto"/>
            <w:bottom w:val="none" w:sz="0" w:space="0" w:color="auto"/>
            <w:right w:val="none" w:sz="0" w:space="0" w:color="auto"/>
          </w:divBdr>
        </w:div>
        <w:div w:id="50426681">
          <w:marLeft w:val="446"/>
          <w:marRight w:val="0"/>
          <w:marTop w:val="0"/>
          <w:marBottom w:val="0"/>
          <w:divBdr>
            <w:top w:val="none" w:sz="0" w:space="0" w:color="auto"/>
            <w:left w:val="none" w:sz="0" w:space="0" w:color="auto"/>
            <w:bottom w:val="none" w:sz="0" w:space="0" w:color="auto"/>
            <w:right w:val="none" w:sz="0" w:space="0" w:color="auto"/>
          </w:divBdr>
        </w:div>
        <w:div w:id="230119987">
          <w:marLeft w:val="446"/>
          <w:marRight w:val="0"/>
          <w:marTop w:val="0"/>
          <w:marBottom w:val="0"/>
          <w:divBdr>
            <w:top w:val="none" w:sz="0" w:space="0" w:color="auto"/>
            <w:left w:val="none" w:sz="0" w:space="0" w:color="auto"/>
            <w:bottom w:val="none" w:sz="0" w:space="0" w:color="auto"/>
            <w:right w:val="none" w:sz="0" w:space="0" w:color="auto"/>
          </w:divBdr>
        </w:div>
        <w:div w:id="272784463">
          <w:marLeft w:val="446"/>
          <w:marRight w:val="0"/>
          <w:marTop w:val="0"/>
          <w:marBottom w:val="0"/>
          <w:divBdr>
            <w:top w:val="none" w:sz="0" w:space="0" w:color="auto"/>
            <w:left w:val="none" w:sz="0" w:space="0" w:color="auto"/>
            <w:bottom w:val="none" w:sz="0" w:space="0" w:color="auto"/>
            <w:right w:val="none" w:sz="0" w:space="0" w:color="auto"/>
          </w:divBdr>
        </w:div>
        <w:div w:id="335115176">
          <w:marLeft w:val="446"/>
          <w:marRight w:val="0"/>
          <w:marTop w:val="0"/>
          <w:marBottom w:val="0"/>
          <w:divBdr>
            <w:top w:val="none" w:sz="0" w:space="0" w:color="auto"/>
            <w:left w:val="none" w:sz="0" w:space="0" w:color="auto"/>
            <w:bottom w:val="none" w:sz="0" w:space="0" w:color="auto"/>
            <w:right w:val="none" w:sz="0" w:space="0" w:color="auto"/>
          </w:divBdr>
        </w:div>
        <w:div w:id="537015295">
          <w:marLeft w:val="446"/>
          <w:marRight w:val="0"/>
          <w:marTop w:val="0"/>
          <w:marBottom w:val="0"/>
          <w:divBdr>
            <w:top w:val="none" w:sz="0" w:space="0" w:color="auto"/>
            <w:left w:val="none" w:sz="0" w:space="0" w:color="auto"/>
            <w:bottom w:val="none" w:sz="0" w:space="0" w:color="auto"/>
            <w:right w:val="none" w:sz="0" w:space="0" w:color="auto"/>
          </w:divBdr>
        </w:div>
        <w:div w:id="550574716">
          <w:marLeft w:val="446"/>
          <w:marRight w:val="0"/>
          <w:marTop w:val="0"/>
          <w:marBottom w:val="0"/>
          <w:divBdr>
            <w:top w:val="none" w:sz="0" w:space="0" w:color="auto"/>
            <w:left w:val="none" w:sz="0" w:space="0" w:color="auto"/>
            <w:bottom w:val="none" w:sz="0" w:space="0" w:color="auto"/>
            <w:right w:val="none" w:sz="0" w:space="0" w:color="auto"/>
          </w:divBdr>
        </w:div>
        <w:div w:id="657881971">
          <w:marLeft w:val="446"/>
          <w:marRight w:val="0"/>
          <w:marTop w:val="0"/>
          <w:marBottom w:val="0"/>
          <w:divBdr>
            <w:top w:val="none" w:sz="0" w:space="0" w:color="auto"/>
            <w:left w:val="none" w:sz="0" w:space="0" w:color="auto"/>
            <w:bottom w:val="none" w:sz="0" w:space="0" w:color="auto"/>
            <w:right w:val="none" w:sz="0" w:space="0" w:color="auto"/>
          </w:divBdr>
        </w:div>
        <w:div w:id="721363939">
          <w:marLeft w:val="446"/>
          <w:marRight w:val="0"/>
          <w:marTop w:val="0"/>
          <w:marBottom w:val="0"/>
          <w:divBdr>
            <w:top w:val="none" w:sz="0" w:space="0" w:color="auto"/>
            <w:left w:val="none" w:sz="0" w:space="0" w:color="auto"/>
            <w:bottom w:val="none" w:sz="0" w:space="0" w:color="auto"/>
            <w:right w:val="none" w:sz="0" w:space="0" w:color="auto"/>
          </w:divBdr>
        </w:div>
        <w:div w:id="725643616">
          <w:marLeft w:val="446"/>
          <w:marRight w:val="0"/>
          <w:marTop w:val="0"/>
          <w:marBottom w:val="0"/>
          <w:divBdr>
            <w:top w:val="none" w:sz="0" w:space="0" w:color="auto"/>
            <w:left w:val="none" w:sz="0" w:space="0" w:color="auto"/>
            <w:bottom w:val="none" w:sz="0" w:space="0" w:color="auto"/>
            <w:right w:val="none" w:sz="0" w:space="0" w:color="auto"/>
          </w:divBdr>
        </w:div>
        <w:div w:id="780875342">
          <w:marLeft w:val="446"/>
          <w:marRight w:val="0"/>
          <w:marTop w:val="0"/>
          <w:marBottom w:val="0"/>
          <w:divBdr>
            <w:top w:val="none" w:sz="0" w:space="0" w:color="auto"/>
            <w:left w:val="none" w:sz="0" w:space="0" w:color="auto"/>
            <w:bottom w:val="none" w:sz="0" w:space="0" w:color="auto"/>
            <w:right w:val="none" w:sz="0" w:space="0" w:color="auto"/>
          </w:divBdr>
        </w:div>
        <w:div w:id="804738734">
          <w:marLeft w:val="446"/>
          <w:marRight w:val="0"/>
          <w:marTop w:val="0"/>
          <w:marBottom w:val="0"/>
          <w:divBdr>
            <w:top w:val="none" w:sz="0" w:space="0" w:color="auto"/>
            <w:left w:val="none" w:sz="0" w:space="0" w:color="auto"/>
            <w:bottom w:val="none" w:sz="0" w:space="0" w:color="auto"/>
            <w:right w:val="none" w:sz="0" w:space="0" w:color="auto"/>
          </w:divBdr>
        </w:div>
        <w:div w:id="1029642077">
          <w:marLeft w:val="446"/>
          <w:marRight w:val="0"/>
          <w:marTop w:val="0"/>
          <w:marBottom w:val="0"/>
          <w:divBdr>
            <w:top w:val="none" w:sz="0" w:space="0" w:color="auto"/>
            <w:left w:val="none" w:sz="0" w:space="0" w:color="auto"/>
            <w:bottom w:val="none" w:sz="0" w:space="0" w:color="auto"/>
            <w:right w:val="none" w:sz="0" w:space="0" w:color="auto"/>
          </w:divBdr>
        </w:div>
        <w:div w:id="1157919662">
          <w:marLeft w:val="446"/>
          <w:marRight w:val="0"/>
          <w:marTop w:val="0"/>
          <w:marBottom w:val="0"/>
          <w:divBdr>
            <w:top w:val="none" w:sz="0" w:space="0" w:color="auto"/>
            <w:left w:val="none" w:sz="0" w:space="0" w:color="auto"/>
            <w:bottom w:val="none" w:sz="0" w:space="0" w:color="auto"/>
            <w:right w:val="none" w:sz="0" w:space="0" w:color="auto"/>
          </w:divBdr>
        </w:div>
        <w:div w:id="1171259957">
          <w:marLeft w:val="446"/>
          <w:marRight w:val="0"/>
          <w:marTop w:val="0"/>
          <w:marBottom w:val="0"/>
          <w:divBdr>
            <w:top w:val="none" w:sz="0" w:space="0" w:color="auto"/>
            <w:left w:val="none" w:sz="0" w:space="0" w:color="auto"/>
            <w:bottom w:val="none" w:sz="0" w:space="0" w:color="auto"/>
            <w:right w:val="none" w:sz="0" w:space="0" w:color="auto"/>
          </w:divBdr>
        </w:div>
        <w:div w:id="1203130028">
          <w:marLeft w:val="446"/>
          <w:marRight w:val="0"/>
          <w:marTop w:val="0"/>
          <w:marBottom w:val="0"/>
          <w:divBdr>
            <w:top w:val="none" w:sz="0" w:space="0" w:color="auto"/>
            <w:left w:val="none" w:sz="0" w:space="0" w:color="auto"/>
            <w:bottom w:val="none" w:sz="0" w:space="0" w:color="auto"/>
            <w:right w:val="none" w:sz="0" w:space="0" w:color="auto"/>
          </w:divBdr>
        </w:div>
        <w:div w:id="1291398590">
          <w:marLeft w:val="446"/>
          <w:marRight w:val="0"/>
          <w:marTop w:val="0"/>
          <w:marBottom w:val="0"/>
          <w:divBdr>
            <w:top w:val="none" w:sz="0" w:space="0" w:color="auto"/>
            <w:left w:val="none" w:sz="0" w:space="0" w:color="auto"/>
            <w:bottom w:val="none" w:sz="0" w:space="0" w:color="auto"/>
            <w:right w:val="none" w:sz="0" w:space="0" w:color="auto"/>
          </w:divBdr>
        </w:div>
        <w:div w:id="1847667911">
          <w:marLeft w:val="446"/>
          <w:marRight w:val="0"/>
          <w:marTop w:val="0"/>
          <w:marBottom w:val="0"/>
          <w:divBdr>
            <w:top w:val="none" w:sz="0" w:space="0" w:color="auto"/>
            <w:left w:val="none" w:sz="0" w:space="0" w:color="auto"/>
            <w:bottom w:val="none" w:sz="0" w:space="0" w:color="auto"/>
            <w:right w:val="none" w:sz="0" w:space="0" w:color="auto"/>
          </w:divBdr>
        </w:div>
        <w:div w:id="1919903332">
          <w:marLeft w:val="446"/>
          <w:marRight w:val="0"/>
          <w:marTop w:val="0"/>
          <w:marBottom w:val="0"/>
          <w:divBdr>
            <w:top w:val="none" w:sz="0" w:space="0" w:color="auto"/>
            <w:left w:val="none" w:sz="0" w:space="0" w:color="auto"/>
            <w:bottom w:val="none" w:sz="0" w:space="0" w:color="auto"/>
            <w:right w:val="none" w:sz="0" w:space="0" w:color="auto"/>
          </w:divBdr>
        </w:div>
        <w:div w:id="2009628594">
          <w:marLeft w:val="446"/>
          <w:marRight w:val="0"/>
          <w:marTop w:val="0"/>
          <w:marBottom w:val="0"/>
          <w:divBdr>
            <w:top w:val="none" w:sz="0" w:space="0" w:color="auto"/>
            <w:left w:val="none" w:sz="0" w:space="0" w:color="auto"/>
            <w:bottom w:val="none" w:sz="0" w:space="0" w:color="auto"/>
            <w:right w:val="none" w:sz="0" w:space="0" w:color="auto"/>
          </w:divBdr>
        </w:div>
        <w:div w:id="2048480021">
          <w:marLeft w:val="446"/>
          <w:marRight w:val="0"/>
          <w:marTop w:val="0"/>
          <w:marBottom w:val="0"/>
          <w:divBdr>
            <w:top w:val="none" w:sz="0" w:space="0" w:color="auto"/>
            <w:left w:val="none" w:sz="0" w:space="0" w:color="auto"/>
            <w:bottom w:val="none" w:sz="0" w:space="0" w:color="auto"/>
            <w:right w:val="none" w:sz="0" w:space="0" w:color="auto"/>
          </w:divBdr>
        </w:div>
      </w:divsChild>
    </w:div>
    <w:div w:id="1633443425">
      <w:bodyDiv w:val="1"/>
      <w:marLeft w:val="0"/>
      <w:marRight w:val="0"/>
      <w:marTop w:val="0"/>
      <w:marBottom w:val="0"/>
      <w:divBdr>
        <w:top w:val="none" w:sz="0" w:space="0" w:color="auto"/>
        <w:left w:val="none" w:sz="0" w:space="0" w:color="auto"/>
        <w:bottom w:val="none" w:sz="0" w:space="0" w:color="auto"/>
        <w:right w:val="none" w:sz="0" w:space="0" w:color="auto"/>
      </w:divBdr>
      <w:divsChild>
        <w:div w:id="1862741123">
          <w:marLeft w:val="547"/>
          <w:marRight w:val="0"/>
          <w:marTop w:val="0"/>
          <w:marBottom w:val="0"/>
          <w:divBdr>
            <w:top w:val="none" w:sz="0" w:space="0" w:color="auto"/>
            <w:left w:val="none" w:sz="0" w:space="0" w:color="auto"/>
            <w:bottom w:val="none" w:sz="0" w:space="0" w:color="auto"/>
            <w:right w:val="none" w:sz="0" w:space="0" w:color="auto"/>
          </w:divBdr>
        </w:div>
        <w:div w:id="2036609344">
          <w:marLeft w:val="547"/>
          <w:marRight w:val="0"/>
          <w:marTop w:val="0"/>
          <w:marBottom w:val="0"/>
          <w:divBdr>
            <w:top w:val="none" w:sz="0" w:space="0" w:color="auto"/>
            <w:left w:val="none" w:sz="0" w:space="0" w:color="auto"/>
            <w:bottom w:val="none" w:sz="0" w:space="0" w:color="auto"/>
            <w:right w:val="none" w:sz="0" w:space="0" w:color="auto"/>
          </w:divBdr>
        </w:div>
        <w:div w:id="727848090">
          <w:marLeft w:val="547"/>
          <w:marRight w:val="0"/>
          <w:marTop w:val="0"/>
          <w:marBottom w:val="0"/>
          <w:divBdr>
            <w:top w:val="none" w:sz="0" w:space="0" w:color="auto"/>
            <w:left w:val="none" w:sz="0" w:space="0" w:color="auto"/>
            <w:bottom w:val="none" w:sz="0" w:space="0" w:color="auto"/>
            <w:right w:val="none" w:sz="0" w:space="0" w:color="auto"/>
          </w:divBdr>
        </w:div>
      </w:divsChild>
    </w:div>
    <w:div w:id="1645701310">
      <w:bodyDiv w:val="1"/>
      <w:marLeft w:val="0"/>
      <w:marRight w:val="0"/>
      <w:marTop w:val="0"/>
      <w:marBottom w:val="0"/>
      <w:divBdr>
        <w:top w:val="none" w:sz="0" w:space="0" w:color="auto"/>
        <w:left w:val="none" w:sz="0" w:space="0" w:color="auto"/>
        <w:bottom w:val="none" w:sz="0" w:space="0" w:color="auto"/>
        <w:right w:val="none" w:sz="0" w:space="0" w:color="auto"/>
      </w:divBdr>
      <w:divsChild>
        <w:div w:id="2025857841">
          <w:marLeft w:val="547"/>
          <w:marRight w:val="0"/>
          <w:marTop w:val="0"/>
          <w:marBottom w:val="0"/>
          <w:divBdr>
            <w:top w:val="none" w:sz="0" w:space="0" w:color="auto"/>
            <w:left w:val="none" w:sz="0" w:space="0" w:color="auto"/>
            <w:bottom w:val="none" w:sz="0" w:space="0" w:color="auto"/>
            <w:right w:val="none" w:sz="0" w:space="0" w:color="auto"/>
          </w:divBdr>
        </w:div>
        <w:div w:id="30157046">
          <w:marLeft w:val="547"/>
          <w:marRight w:val="0"/>
          <w:marTop w:val="0"/>
          <w:marBottom w:val="0"/>
          <w:divBdr>
            <w:top w:val="none" w:sz="0" w:space="0" w:color="auto"/>
            <w:left w:val="none" w:sz="0" w:space="0" w:color="auto"/>
            <w:bottom w:val="none" w:sz="0" w:space="0" w:color="auto"/>
            <w:right w:val="none" w:sz="0" w:space="0" w:color="auto"/>
          </w:divBdr>
        </w:div>
        <w:div w:id="55521119">
          <w:marLeft w:val="547"/>
          <w:marRight w:val="0"/>
          <w:marTop w:val="0"/>
          <w:marBottom w:val="0"/>
          <w:divBdr>
            <w:top w:val="none" w:sz="0" w:space="0" w:color="auto"/>
            <w:left w:val="none" w:sz="0" w:space="0" w:color="auto"/>
            <w:bottom w:val="none" w:sz="0" w:space="0" w:color="auto"/>
            <w:right w:val="none" w:sz="0" w:space="0" w:color="auto"/>
          </w:divBdr>
        </w:div>
      </w:divsChild>
    </w:div>
    <w:div w:id="1674185144">
      <w:bodyDiv w:val="1"/>
      <w:marLeft w:val="0"/>
      <w:marRight w:val="0"/>
      <w:marTop w:val="0"/>
      <w:marBottom w:val="0"/>
      <w:divBdr>
        <w:top w:val="none" w:sz="0" w:space="0" w:color="auto"/>
        <w:left w:val="none" w:sz="0" w:space="0" w:color="auto"/>
        <w:bottom w:val="none" w:sz="0" w:space="0" w:color="auto"/>
        <w:right w:val="none" w:sz="0" w:space="0" w:color="auto"/>
      </w:divBdr>
    </w:div>
    <w:div w:id="1833715310">
      <w:bodyDiv w:val="1"/>
      <w:marLeft w:val="0"/>
      <w:marRight w:val="0"/>
      <w:marTop w:val="0"/>
      <w:marBottom w:val="0"/>
      <w:divBdr>
        <w:top w:val="none" w:sz="0" w:space="0" w:color="auto"/>
        <w:left w:val="none" w:sz="0" w:space="0" w:color="auto"/>
        <w:bottom w:val="none" w:sz="0" w:space="0" w:color="auto"/>
        <w:right w:val="none" w:sz="0" w:space="0" w:color="auto"/>
      </w:divBdr>
      <w:divsChild>
        <w:div w:id="1307781027">
          <w:marLeft w:val="547"/>
          <w:marRight w:val="0"/>
          <w:marTop w:val="0"/>
          <w:marBottom w:val="0"/>
          <w:divBdr>
            <w:top w:val="none" w:sz="0" w:space="0" w:color="auto"/>
            <w:left w:val="none" w:sz="0" w:space="0" w:color="auto"/>
            <w:bottom w:val="none" w:sz="0" w:space="0" w:color="auto"/>
            <w:right w:val="none" w:sz="0" w:space="0" w:color="auto"/>
          </w:divBdr>
        </w:div>
        <w:div w:id="2089770834">
          <w:marLeft w:val="547"/>
          <w:marRight w:val="0"/>
          <w:marTop w:val="0"/>
          <w:marBottom w:val="0"/>
          <w:divBdr>
            <w:top w:val="none" w:sz="0" w:space="0" w:color="auto"/>
            <w:left w:val="none" w:sz="0" w:space="0" w:color="auto"/>
            <w:bottom w:val="none" w:sz="0" w:space="0" w:color="auto"/>
            <w:right w:val="none" w:sz="0" w:space="0" w:color="auto"/>
          </w:divBdr>
        </w:div>
        <w:div w:id="1521627267">
          <w:marLeft w:val="547"/>
          <w:marRight w:val="0"/>
          <w:marTop w:val="0"/>
          <w:marBottom w:val="0"/>
          <w:divBdr>
            <w:top w:val="none" w:sz="0" w:space="0" w:color="auto"/>
            <w:left w:val="none" w:sz="0" w:space="0" w:color="auto"/>
            <w:bottom w:val="none" w:sz="0" w:space="0" w:color="auto"/>
            <w:right w:val="none" w:sz="0" w:space="0" w:color="auto"/>
          </w:divBdr>
        </w:div>
        <w:div w:id="839151206">
          <w:marLeft w:val="547"/>
          <w:marRight w:val="0"/>
          <w:marTop w:val="0"/>
          <w:marBottom w:val="0"/>
          <w:divBdr>
            <w:top w:val="none" w:sz="0" w:space="0" w:color="auto"/>
            <w:left w:val="none" w:sz="0" w:space="0" w:color="auto"/>
            <w:bottom w:val="none" w:sz="0" w:space="0" w:color="auto"/>
            <w:right w:val="none" w:sz="0" w:space="0" w:color="auto"/>
          </w:divBdr>
        </w:div>
        <w:div w:id="1530294893">
          <w:marLeft w:val="547"/>
          <w:marRight w:val="0"/>
          <w:marTop w:val="0"/>
          <w:marBottom w:val="0"/>
          <w:divBdr>
            <w:top w:val="none" w:sz="0" w:space="0" w:color="auto"/>
            <w:left w:val="none" w:sz="0" w:space="0" w:color="auto"/>
            <w:bottom w:val="none" w:sz="0" w:space="0" w:color="auto"/>
            <w:right w:val="none" w:sz="0" w:space="0" w:color="auto"/>
          </w:divBdr>
        </w:div>
        <w:div w:id="84691793">
          <w:marLeft w:val="547"/>
          <w:marRight w:val="0"/>
          <w:marTop w:val="0"/>
          <w:marBottom w:val="0"/>
          <w:divBdr>
            <w:top w:val="none" w:sz="0" w:space="0" w:color="auto"/>
            <w:left w:val="none" w:sz="0" w:space="0" w:color="auto"/>
            <w:bottom w:val="none" w:sz="0" w:space="0" w:color="auto"/>
            <w:right w:val="none" w:sz="0" w:space="0" w:color="auto"/>
          </w:divBdr>
        </w:div>
        <w:div w:id="1190223279">
          <w:marLeft w:val="547"/>
          <w:marRight w:val="0"/>
          <w:marTop w:val="0"/>
          <w:marBottom w:val="0"/>
          <w:divBdr>
            <w:top w:val="none" w:sz="0" w:space="0" w:color="auto"/>
            <w:left w:val="none" w:sz="0" w:space="0" w:color="auto"/>
            <w:bottom w:val="none" w:sz="0" w:space="0" w:color="auto"/>
            <w:right w:val="none" w:sz="0" w:space="0" w:color="auto"/>
          </w:divBdr>
        </w:div>
        <w:div w:id="1824156092">
          <w:marLeft w:val="547"/>
          <w:marRight w:val="0"/>
          <w:marTop w:val="0"/>
          <w:marBottom w:val="0"/>
          <w:divBdr>
            <w:top w:val="none" w:sz="0" w:space="0" w:color="auto"/>
            <w:left w:val="none" w:sz="0" w:space="0" w:color="auto"/>
            <w:bottom w:val="none" w:sz="0" w:space="0" w:color="auto"/>
            <w:right w:val="none" w:sz="0" w:space="0" w:color="auto"/>
          </w:divBdr>
        </w:div>
        <w:div w:id="1581864066">
          <w:marLeft w:val="547"/>
          <w:marRight w:val="0"/>
          <w:marTop w:val="0"/>
          <w:marBottom w:val="0"/>
          <w:divBdr>
            <w:top w:val="none" w:sz="0" w:space="0" w:color="auto"/>
            <w:left w:val="none" w:sz="0" w:space="0" w:color="auto"/>
            <w:bottom w:val="none" w:sz="0" w:space="0" w:color="auto"/>
            <w:right w:val="none" w:sz="0" w:space="0" w:color="auto"/>
          </w:divBdr>
        </w:div>
      </w:divsChild>
    </w:div>
    <w:div w:id="1873834274">
      <w:bodyDiv w:val="1"/>
      <w:marLeft w:val="0"/>
      <w:marRight w:val="0"/>
      <w:marTop w:val="0"/>
      <w:marBottom w:val="0"/>
      <w:divBdr>
        <w:top w:val="none" w:sz="0" w:space="0" w:color="auto"/>
        <w:left w:val="none" w:sz="0" w:space="0" w:color="auto"/>
        <w:bottom w:val="none" w:sz="0" w:space="0" w:color="auto"/>
        <w:right w:val="none" w:sz="0" w:space="0" w:color="auto"/>
      </w:divBdr>
    </w:div>
    <w:div w:id="1893466900">
      <w:bodyDiv w:val="1"/>
      <w:marLeft w:val="0"/>
      <w:marRight w:val="0"/>
      <w:marTop w:val="0"/>
      <w:marBottom w:val="0"/>
      <w:divBdr>
        <w:top w:val="none" w:sz="0" w:space="0" w:color="auto"/>
        <w:left w:val="none" w:sz="0" w:space="0" w:color="auto"/>
        <w:bottom w:val="none" w:sz="0" w:space="0" w:color="auto"/>
        <w:right w:val="none" w:sz="0" w:space="0" w:color="auto"/>
      </w:divBdr>
      <w:divsChild>
        <w:div w:id="808209676">
          <w:marLeft w:val="547"/>
          <w:marRight w:val="0"/>
          <w:marTop w:val="0"/>
          <w:marBottom w:val="0"/>
          <w:divBdr>
            <w:top w:val="none" w:sz="0" w:space="0" w:color="auto"/>
            <w:left w:val="none" w:sz="0" w:space="0" w:color="auto"/>
            <w:bottom w:val="none" w:sz="0" w:space="0" w:color="auto"/>
            <w:right w:val="none" w:sz="0" w:space="0" w:color="auto"/>
          </w:divBdr>
        </w:div>
        <w:div w:id="904490562">
          <w:marLeft w:val="547"/>
          <w:marRight w:val="0"/>
          <w:marTop w:val="0"/>
          <w:marBottom w:val="0"/>
          <w:divBdr>
            <w:top w:val="none" w:sz="0" w:space="0" w:color="auto"/>
            <w:left w:val="none" w:sz="0" w:space="0" w:color="auto"/>
            <w:bottom w:val="none" w:sz="0" w:space="0" w:color="auto"/>
            <w:right w:val="none" w:sz="0" w:space="0" w:color="auto"/>
          </w:divBdr>
        </w:div>
        <w:div w:id="870994215">
          <w:marLeft w:val="547"/>
          <w:marRight w:val="0"/>
          <w:marTop w:val="0"/>
          <w:marBottom w:val="0"/>
          <w:divBdr>
            <w:top w:val="none" w:sz="0" w:space="0" w:color="auto"/>
            <w:left w:val="none" w:sz="0" w:space="0" w:color="auto"/>
            <w:bottom w:val="none" w:sz="0" w:space="0" w:color="auto"/>
            <w:right w:val="none" w:sz="0" w:space="0" w:color="auto"/>
          </w:divBdr>
        </w:div>
      </w:divsChild>
    </w:div>
    <w:div w:id="1893884614">
      <w:bodyDiv w:val="1"/>
      <w:marLeft w:val="0"/>
      <w:marRight w:val="0"/>
      <w:marTop w:val="0"/>
      <w:marBottom w:val="0"/>
      <w:divBdr>
        <w:top w:val="none" w:sz="0" w:space="0" w:color="auto"/>
        <w:left w:val="none" w:sz="0" w:space="0" w:color="auto"/>
        <w:bottom w:val="none" w:sz="0" w:space="0" w:color="auto"/>
        <w:right w:val="none" w:sz="0" w:space="0" w:color="auto"/>
      </w:divBdr>
    </w:div>
    <w:div w:id="1942907661">
      <w:bodyDiv w:val="1"/>
      <w:marLeft w:val="0"/>
      <w:marRight w:val="0"/>
      <w:marTop w:val="0"/>
      <w:marBottom w:val="0"/>
      <w:divBdr>
        <w:top w:val="none" w:sz="0" w:space="0" w:color="auto"/>
        <w:left w:val="none" w:sz="0" w:space="0" w:color="auto"/>
        <w:bottom w:val="none" w:sz="0" w:space="0" w:color="auto"/>
        <w:right w:val="none" w:sz="0" w:space="0" w:color="auto"/>
      </w:divBdr>
      <w:divsChild>
        <w:div w:id="1718043317">
          <w:marLeft w:val="547"/>
          <w:marRight w:val="0"/>
          <w:marTop w:val="0"/>
          <w:marBottom w:val="0"/>
          <w:divBdr>
            <w:top w:val="none" w:sz="0" w:space="0" w:color="auto"/>
            <w:left w:val="none" w:sz="0" w:space="0" w:color="auto"/>
            <w:bottom w:val="none" w:sz="0" w:space="0" w:color="auto"/>
            <w:right w:val="none" w:sz="0" w:space="0" w:color="auto"/>
          </w:divBdr>
        </w:div>
        <w:div w:id="1299072318">
          <w:marLeft w:val="547"/>
          <w:marRight w:val="0"/>
          <w:marTop w:val="0"/>
          <w:marBottom w:val="0"/>
          <w:divBdr>
            <w:top w:val="none" w:sz="0" w:space="0" w:color="auto"/>
            <w:left w:val="none" w:sz="0" w:space="0" w:color="auto"/>
            <w:bottom w:val="none" w:sz="0" w:space="0" w:color="auto"/>
            <w:right w:val="none" w:sz="0" w:space="0" w:color="auto"/>
          </w:divBdr>
        </w:div>
      </w:divsChild>
    </w:div>
    <w:div w:id="1986740951">
      <w:bodyDiv w:val="1"/>
      <w:marLeft w:val="0"/>
      <w:marRight w:val="0"/>
      <w:marTop w:val="0"/>
      <w:marBottom w:val="0"/>
      <w:divBdr>
        <w:top w:val="none" w:sz="0" w:space="0" w:color="auto"/>
        <w:left w:val="none" w:sz="0" w:space="0" w:color="auto"/>
        <w:bottom w:val="none" w:sz="0" w:space="0" w:color="auto"/>
        <w:right w:val="none" w:sz="0" w:space="0" w:color="auto"/>
      </w:divBdr>
      <w:divsChild>
        <w:div w:id="1545099927">
          <w:marLeft w:val="547"/>
          <w:marRight w:val="0"/>
          <w:marTop w:val="0"/>
          <w:marBottom w:val="0"/>
          <w:divBdr>
            <w:top w:val="none" w:sz="0" w:space="0" w:color="auto"/>
            <w:left w:val="none" w:sz="0" w:space="0" w:color="auto"/>
            <w:bottom w:val="none" w:sz="0" w:space="0" w:color="auto"/>
            <w:right w:val="none" w:sz="0" w:space="0" w:color="auto"/>
          </w:divBdr>
        </w:div>
      </w:divsChild>
    </w:div>
    <w:div w:id="2000770381">
      <w:bodyDiv w:val="1"/>
      <w:marLeft w:val="0"/>
      <w:marRight w:val="0"/>
      <w:marTop w:val="0"/>
      <w:marBottom w:val="0"/>
      <w:divBdr>
        <w:top w:val="none" w:sz="0" w:space="0" w:color="auto"/>
        <w:left w:val="none" w:sz="0" w:space="0" w:color="auto"/>
        <w:bottom w:val="none" w:sz="0" w:space="0" w:color="auto"/>
        <w:right w:val="none" w:sz="0" w:space="0" w:color="auto"/>
      </w:divBdr>
      <w:divsChild>
        <w:div w:id="60718865">
          <w:marLeft w:val="547"/>
          <w:marRight w:val="0"/>
          <w:marTop w:val="0"/>
          <w:marBottom w:val="0"/>
          <w:divBdr>
            <w:top w:val="none" w:sz="0" w:space="0" w:color="auto"/>
            <w:left w:val="none" w:sz="0" w:space="0" w:color="auto"/>
            <w:bottom w:val="none" w:sz="0" w:space="0" w:color="auto"/>
            <w:right w:val="none" w:sz="0" w:space="0" w:color="auto"/>
          </w:divBdr>
        </w:div>
        <w:div w:id="708186657">
          <w:marLeft w:val="547"/>
          <w:marRight w:val="0"/>
          <w:marTop w:val="0"/>
          <w:marBottom w:val="0"/>
          <w:divBdr>
            <w:top w:val="none" w:sz="0" w:space="0" w:color="auto"/>
            <w:left w:val="none" w:sz="0" w:space="0" w:color="auto"/>
            <w:bottom w:val="none" w:sz="0" w:space="0" w:color="auto"/>
            <w:right w:val="none" w:sz="0" w:space="0" w:color="auto"/>
          </w:divBdr>
        </w:div>
      </w:divsChild>
    </w:div>
    <w:div w:id="2009287936">
      <w:bodyDiv w:val="1"/>
      <w:marLeft w:val="0"/>
      <w:marRight w:val="0"/>
      <w:marTop w:val="0"/>
      <w:marBottom w:val="0"/>
      <w:divBdr>
        <w:top w:val="none" w:sz="0" w:space="0" w:color="auto"/>
        <w:left w:val="none" w:sz="0" w:space="0" w:color="auto"/>
        <w:bottom w:val="none" w:sz="0" w:space="0" w:color="auto"/>
        <w:right w:val="none" w:sz="0" w:space="0" w:color="auto"/>
      </w:divBdr>
      <w:divsChild>
        <w:div w:id="836841150">
          <w:marLeft w:val="547"/>
          <w:marRight w:val="0"/>
          <w:marTop w:val="0"/>
          <w:marBottom w:val="0"/>
          <w:divBdr>
            <w:top w:val="none" w:sz="0" w:space="0" w:color="auto"/>
            <w:left w:val="none" w:sz="0" w:space="0" w:color="auto"/>
            <w:bottom w:val="none" w:sz="0" w:space="0" w:color="auto"/>
            <w:right w:val="none" w:sz="0" w:space="0" w:color="auto"/>
          </w:divBdr>
        </w:div>
        <w:div w:id="1815834609">
          <w:marLeft w:val="547"/>
          <w:marRight w:val="0"/>
          <w:marTop w:val="0"/>
          <w:marBottom w:val="0"/>
          <w:divBdr>
            <w:top w:val="none" w:sz="0" w:space="0" w:color="auto"/>
            <w:left w:val="none" w:sz="0" w:space="0" w:color="auto"/>
            <w:bottom w:val="none" w:sz="0" w:space="0" w:color="auto"/>
            <w:right w:val="none" w:sz="0" w:space="0" w:color="auto"/>
          </w:divBdr>
        </w:div>
        <w:div w:id="1108892227">
          <w:marLeft w:val="547"/>
          <w:marRight w:val="0"/>
          <w:marTop w:val="0"/>
          <w:marBottom w:val="0"/>
          <w:divBdr>
            <w:top w:val="none" w:sz="0" w:space="0" w:color="auto"/>
            <w:left w:val="none" w:sz="0" w:space="0" w:color="auto"/>
            <w:bottom w:val="none" w:sz="0" w:space="0" w:color="auto"/>
            <w:right w:val="none" w:sz="0" w:space="0" w:color="auto"/>
          </w:divBdr>
        </w:div>
        <w:div w:id="1594783745">
          <w:marLeft w:val="547"/>
          <w:marRight w:val="0"/>
          <w:marTop w:val="0"/>
          <w:marBottom w:val="0"/>
          <w:divBdr>
            <w:top w:val="none" w:sz="0" w:space="0" w:color="auto"/>
            <w:left w:val="none" w:sz="0" w:space="0" w:color="auto"/>
            <w:bottom w:val="none" w:sz="0" w:space="0" w:color="auto"/>
            <w:right w:val="none" w:sz="0" w:space="0" w:color="auto"/>
          </w:divBdr>
        </w:div>
      </w:divsChild>
    </w:div>
    <w:div w:id="2036956713">
      <w:bodyDiv w:val="1"/>
      <w:marLeft w:val="0"/>
      <w:marRight w:val="0"/>
      <w:marTop w:val="0"/>
      <w:marBottom w:val="0"/>
      <w:divBdr>
        <w:top w:val="none" w:sz="0" w:space="0" w:color="auto"/>
        <w:left w:val="none" w:sz="0" w:space="0" w:color="auto"/>
        <w:bottom w:val="none" w:sz="0" w:space="0" w:color="auto"/>
        <w:right w:val="none" w:sz="0" w:space="0" w:color="auto"/>
      </w:divBdr>
      <w:divsChild>
        <w:div w:id="193816848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image" Target="media/image4.emf"/><Relationship Id="rId26" Type="http://schemas.openxmlformats.org/officeDocument/2006/relationships/image" Target="media/image12.png"/><Relationship Id="rId3" Type="http://schemas.openxmlformats.org/officeDocument/2006/relationships/customXml" Target="../customXml/item3.xml"/><Relationship Id="rId21" Type="http://schemas.openxmlformats.org/officeDocument/2006/relationships/image" Target="media/image7.emf"/><Relationship Id="rId63" Type="http://schemas.microsoft.com/office/2016/09/relationships/commentsIds" Target="commentsIds.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3.png"/><Relationship Id="rId25" Type="http://schemas.openxmlformats.org/officeDocument/2006/relationships/image" Target="media/image11.png"/><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6.jpeg"/><Relationship Id="rId29" Type="http://schemas.openxmlformats.org/officeDocument/2006/relationships/header" Target="header4.xml"/><Relationship Id="rId62"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0.pn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9.png"/><Relationship Id="rId28" Type="http://schemas.openxmlformats.org/officeDocument/2006/relationships/image" Target="media/image14.emf"/><Relationship Id="rId10" Type="http://schemas.openxmlformats.org/officeDocument/2006/relationships/endnotes" Target="endnotes.xml"/><Relationship Id="rId19" Type="http://schemas.openxmlformats.org/officeDocument/2006/relationships/image" Target="media/image5.emf"/><Relationship Id="rId31"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8.emf"/><Relationship Id="rId27" Type="http://schemas.openxmlformats.org/officeDocument/2006/relationships/image" Target="media/image13.png"/><Relationship Id="rId30" Type="http://schemas.openxmlformats.org/officeDocument/2006/relationships/fontTable" Target="fontTable.xml"/></Relationships>
</file>

<file path=word/_rels/endnotes.xml.rels><?xml version="1.0" encoding="UTF-8" standalone="yes"?>
<Relationships xmlns="http://schemas.openxmlformats.org/package/2006/relationships"><Relationship Id="rId8" Type="http://schemas.openxmlformats.org/officeDocument/2006/relationships/hyperlink" Target="https://www.osii.nsw.gov.au/assets/office-of-social-impact-investment/Evaluation-of-the-Resilient-Families-Service-Final-Evaluation-April-2020.pdf" TargetMode="External"/><Relationship Id="rId3" Type="http://schemas.openxmlformats.org/officeDocument/2006/relationships/hyperlink" Target="https://data.ndis.gov.au/reports-and-analyses/market-monitoring" TargetMode="External"/><Relationship Id="rId7" Type="http://schemas.openxmlformats.org/officeDocument/2006/relationships/hyperlink" Target="https://www.pc.gov.au/inquiries/completed/human-services/reforms" TargetMode="External"/><Relationship Id="rId2" Type="http://schemas.openxmlformats.org/officeDocument/2006/relationships/hyperlink" Target="https://blcw.dss.gov.au/ndis-demand-map" TargetMode="External"/><Relationship Id="rId1" Type="http://schemas.openxmlformats.org/officeDocument/2006/relationships/hyperlink" Target="https://fbe.unimelb.edu.au/cmd/projects/smart-market-for-student-transport" TargetMode="External"/><Relationship Id="rId6" Type="http://schemas.openxmlformats.org/officeDocument/2006/relationships/hyperlink" Target="http://www.accc.gov.au/business/pricing/setting-prices-whats-allowed" TargetMode="External"/><Relationship Id="rId5" Type="http://schemas.openxmlformats.org/officeDocument/2006/relationships/hyperlink" Target="http://www.ndis.gov.au/about-us/reference-group-updates/pricing-reference-group" TargetMode="External"/><Relationship Id="rId4" Type="http://schemas.openxmlformats.org/officeDocument/2006/relationships/hyperlink" Target="http://www.ndis.gov.au/participants/assistive-technology-explained/continence-provider-lis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E5B29DB5BC88418B9E41863B212F3896"/>
        <w:category>
          <w:name w:val="General"/>
          <w:gallery w:val="placeholder"/>
        </w:category>
        <w:types>
          <w:type w:val="bbPlcHdr"/>
        </w:types>
        <w:behaviors>
          <w:behavior w:val="content"/>
        </w:behaviors>
        <w:guid w:val="{E0EE167C-B05C-4D40-9C08-B97E03AA1ED7}"/>
      </w:docPartPr>
      <w:docPartBody>
        <w:p w:rsidR="00AB185C" w:rsidRDefault="009D1EAE">
          <w:pPr>
            <w:pStyle w:val="E5B29DB5BC88418B9E41863B212F3896"/>
          </w:pPr>
          <w:r w:rsidRPr="00F13E41">
            <w:rPr>
              <w:rStyle w:val="PlaceholderText"/>
            </w:rPr>
            <w:t>[Subject]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Segoe UI Semilight">
    <w:panose1 w:val="020B0402040204020203"/>
    <w:charset w:val="00"/>
    <w:family w:val="swiss"/>
    <w:pitch w:val="variable"/>
    <w:sig w:usb0="E4002EFF" w:usb1="C000E47F" w:usb2="00000009" w:usb3="00000000" w:csb0="000001FF" w:csb1="00000000"/>
  </w:font>
  <w:font w:name="Cardo">
    <w:altName w:val="Times New Roman"/>
    <w:charset w:val="00"/>
    <w:family w:val="roman"/>
    <w:pitch w:val="variable"/>
    <w:sig w:usb0="E40008FF" w:usb1="5201E0FB" w:usb2="04608000" w:usb3="00000000" w:csb0="000000BB"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1EAE"/>
    <w:rsid w:val="000268E3"/>
    <w:rsid w:val="000615D2"/>
    <w:rsid w:val="00084537"/>
    <w:rsid w:val="000E31C5"/>
    <w:rsid w:val="000F0098"/>
    <w:rsid w:val="000F7483"/>
    <w:rsid w:val="00124DB7"/>
    <w:rsid w:val="00144CB3"/>
    <w:rsid w:val="0017105A"/>
    <w:rsid w:val="00194DF3"/>
    <w:rsid w:val="00195EA4"/>
    <w:rsid w:val="001A40E6"/>
    <w:rsid w:val="001B0302"/>
    <w:rsid w:val="001B267E"/>
    <w:rsid w:val="001F47E7"/>
    <w:rsid w:val="00203909"/>
    <w:rsid w:val="00205F89"/>
    <w:rsid w:val="00217290"/>
    <w:rsid w:val="00252C92"/>
    <w:rsid w:val="0025591D"/>
    <w:rsid w:val="002611F7"/>
    <w:rsid w:val="0026437E"/>
    <w:rsid w:val="00271CF4"/>
    <w:rsid w:val="002B5A3C"/>
    <w:rsid w:val="002F49AF"/>
    <w:rsid w:val="00351553"/>
    <w:rsid w:val="00376753"/>
    <w:rsid w:val="00391B10"/>
    <w:rsid w:val="003B016F"/>
    <w:rsid w:val="004042D8"/>
    <w:rsid w:val="00447B93"/>
    <w:rsid w:val="00471E9E"/>
    <w:rsid w:val="004C1567"/>
    <w:rsid w:val="00515917"/>
    <w:rsid w:val="00516CE2"/>
    <w:rsid w:val="00520796"/>
    <w:rsid w:val="005651B9"/>
    <w:rsid w:val="005821F0"/>
    <w:rsid w:val="00583E19"/>
    <w:rsid w:val="00597113"/>
    <w:rsid w:val="005A5E20"/>
    <w:rsid w:val="005D6D19"/>
    <w:rsid w:val="005E1D6A"/>
    <w:rsid w:val="00600384"/>
    <w:rsid w:val="00615A41"/>
    <w:rsid w:val="006435A2"/>
    <w:rsid w:val="006449A1"/>
    <w:rsid w:val="00645697"/>
    <w:rsid w:val="00655120"/>
    <w:rsid w:val="00663232"/>
    <w:rsid w:val="006B3B15"/>
    <w:rsid w:val="006D3284"/>
    <w:rsid w:val="006E49E2"/>
    <w:rsid w:val="007049FC"/>
    <w:rsid w:val="0073191A"/>
    <w:rsid w:val="00797BF5"/>
    <w:rsid w:val="007D4156"/>
    <w:rsid w:val="007E0D85"/>
    <w:rsid w:val="007F0A95"/>
    <w:rsid w:val="007F6DFA"/>
    <w:rsid w:val="0081299D"/>
    <w:rsid w:val="00847F40"/>
    <w:rsid w:val="0086224B"/>
    <w:rsid w:val="0087425B"/>
    <w:rsid w:val="0087650B"/>
    <w:rsid w:val="008A2D6B"/>
    <w:rsid w:val="008B157F"/>
    <w:rsid w:val="008C4668"/>
    <w:rsid w:val="008E643A"/>
    <w:rsid w:val="00914B0E"/>
    <w:rsid w:val="0094026C"/>
    <w:rsid w:val="009452AA"/>
    <w:rsid w:val="00952967"/>
    <w:rsid w:val="009558A3"/>
    <w:rsid w:val="009C7B03"/>
    <w:rsid w:val="009D1EAE"/>
    <w:rsid w:val="009E36D4"/>
    <w:rsid w:val="00A155EE"/>
    <w:rsid w:val="00A23923"/>
    <w:rsid w:val="00A2555F"/>
    <w:rsid w:val="00A4225A"/>
    <w:rsid w:val="00A951BF"/>
    <w:rsid w:val="00A957E5"/>
    <w:rsid w:val="00AB185C"/>
    <w:rsid w:val="00AF0691"/>
    <w:rsid w:val="00B30B92"/>
    <w:rsid w:val="00B70F41"/>
    <w:rsid w:val="00B81EA2"/>
    <w:rsid w:val="00B85CF2"/>
    <w:rsid w:val="00B96A07"/>
    <w:rsid w:val="00BA335A"/>
    <w:rsid w:val="00BC050B"/>
    <w:rsid w:val="00BE1C0C"/>
    <w:rsid w:val="00C2172A"/>
    <w:rsid w:val="00C329F6"/>
    <w:rsid w:val="00C65318"/>
    <w:rsid w:val="00C92461"/>
    <w:rsid w:val="00C939D0"/>
    <w:rsid w:val="00CC12C8"/>
    <w:rsid w:val="00CE042B"/>
    <w:rsid w:val="00D312B6"/>
    <w:rsid w:val="00D46335"/>
    <w:rsid w:val="00D954B6"/>
    <w:rsid w:val="00D95AF5"/>
    <w:rsid w:val="00DB3306"/>
    <w:rsid w:val="00DD0DE2"/>
    <w:rsid w:val="00DF1C3A"/>
    <w:rsid w:val="00DF4E6F"/>
    <w:rsid w:val="00E24DB8"/>
    <w:rsid w:val="00E50B53"/>
    <w:rsid w:val="00E70A0B"/>
    <w:rsid w:val="00E91DD9"/>
    <w:rsid w:val="00E94C1F"/>
    <w:rsid w:val="00F46351"/>
    <w:rsid w:val="00F557A0"/>
    <w:rsid w:val="00FA36AD"/>
    <w:rsid w:val="00FC6FA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F6DFA"/>
    <w:rPr>
      <w:color w:val="808080"/>
    </w:rPr>
  </w:style>
  <w:style w:type="paragraph" w:customStyle="1" w:styleId="055E9408A8824DAE922C08C60993CF1B">
    <w:name w:val="055E9408A8824DAE922C08C60993CF1B"/>
  </w:style>
  <w:style w:type="paragraph" w:customStyle="1" w:styleId="83F6C299FA2F463A9200396A0C6FE795">
    <w:name w:val="83F6C299FA2F463A9200396A0C6FE795"/>
  </w:style>
  <w:style w:type="paragraph" w:customStyle="1" w:styleId="E5B29DB5BC88418B9E41863B212F3896">
    <w:name w:val="E5B29DB5BC88418B9E41863B212F3896"/>
  </w:style>
  <w:style w:type="paragraph" w:customStyle="1" w:styleId="2AB0D33EF4DB40AFA2B98FCD92BAC7E3">
    <w:name w:val="2AB0D33EF4DB40AFA2B98FCD92BAC7E3"/>
    <w:rsid w:val="00DD0DE2"/>
  </w:style>
  <w:style w:type="paragraph" w:customStyle="1" w:styleId="8EF83B15362F4D7E9ED1E58FFA5DF6FE">
    <w:name w:val="8EF83B15362F4D7E9ED1E58FFA5DF6FE"/>
    <w:rsid w:val="00DD0DE2"/>
  </w:style>
  <w:style w:type="paragraph" w:customStyle="1" w:styleId="0F67C2180D854EB3A01B11905B2FEF4E">
    <w:name w:val="0F67C2180D854EB3A01B11905B2FEF4E"/>
    <w:rsid w:val="00DD0DE2"/>
  </w:style>
  <w:style w:type="paragraph" w:customStyle="1" w:styleId="B06D98C175994C45B8C0DD33C652B1DF">
    <w:name w:val="B06D98C175994C45B8C0DD33C652B1DF"/>
    <w:rsid w:val="00A957E5"/>
  </w:style>
  <w:style w:type="paragraph" w:customStyle="1" w:styleId="8444B02CD3CA40B685F12AB38EFF2C3B">
    <w:name w:val="8444B02CD3CA40B685F12AB38EFF2C3B"/>
    <w:rsid w:val="00A957E5"/>
  </w:style>
  <w:style w:type="paragraph" w:customStyle="1" w:styleId="1EBF941518FC4FB5AC7EB0C348215189">
    <w:name w:val="1EBF941518FC4FB5AC7EB0C348215189"/>
    <w:rsid w:val="00A957E5"/>
  </w:style>
  <w:style w:type="paragraph" w:customStyle="1" w:styleId="003A17FA3A724074A1B3CA1EA2F77775">
    <w:name w:val="003A17FA3A724074A1B3CA1EA2F77775"/>
    <w:rsid w:val="00A957E5"/>
  </w:style>
  <w:style w:type="paragraph" w:customStyle="1" w:styleId="780C5E9207FC4EC0B7EE43EEEFBD3A5D">
    <w:name w:val="780C5E9207FC4EC0B7EE43EEEFBD3A5D"/>
    <w:rsid w:val="00A957E5"/>
  </w:style>
  <w:style w:type="paragraph" w:customStyle="1" w:styleId="277954F4B7084303949CD13F716EDF62">
    <w:name w:val="277954F4B7084303949CD13F716EDF62"/>
    <w:rsid w:val="00A957E5"/>
  </w:style>
  <w:style w:type="paragraph" w:customStyle="1" w:styleId="97C4D9EFC7994F12945DBA9EF6C33BD9">
    <w:name w:val="97C4D9EFC7994F12945DBA9EF6C33BD9"/>
    <w:rsid w:val="007F6DF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theme/theme1.xml><?xml version="1.0" encoding="utf-8"?>
<a:theme xmlns:a="http://schemas.openxmlformats.org/drawingml/2006/main" name="Office Theme">
  <a:themeElements>
    <a:clrScheme name="NDIS Review">
      <a:dk1>
        <a:srgbClr val="092B57"/>
      </a:dk1>
      <a:lt1>
        <a:srgbClr val="FFFFFF"/>
      </a:lt1>
      <a:dk2>
        <a:srgbClr val="B381B3"/>
      </a:dk2>
      <a:lt2>
        <a:srgbClr val="F5A37D"/>
      </a:lt2>
      <a:accent1>
        <a:srgbClr val="AEA8D3"/>
      </a:accent1>
      <a:accent2>
        <a:srgbClr val="F5A37D"/>
      </a:accent2>
      <a:accent3>
        <a:srgbClr val="F26337"/>
      </a:accent3>
      <a:accent4>
        <a:srgbClr val="D8D8D8"/>
      </a:accent4>
      <a:accent5>
        <a:srgbClr val="A1C5F5"/>
      </a:accent5>
      <a:accent6>
        <a:srgbClr val="092B57"/>
      </a:accent6>
      <a:hlink>
        <a:srgbClr val="1B375C"/>
      </a:hlink>
      <a:folHlink>
        <a:srgbClr val="B75B53"/>
      </a:folHlink>
    </a:clrScheme>
    <a:fontScheme name="Custom 1">
      <a:majorFont>
        <a:latin typeface="Segoe UI"/>
        <a:ea typeface=""/>
        <a:cs typeface=""/>
      </a:majorFont>
      <a:minorFont>
        <a:latin typeface="Segoe U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ShareHub Document" ma:contentTypeID="0x0101002825A64A6E1845A99A9D8EE8A5686ECB009B58D7D72C3ED54C851955501673F8AC" ma:contentTypeVersion="12" ma:contentTypeDescription="ShareHub Document" ma:contentTypeScope="" ma:versionID="97f9b7b7c78848d4214b9782eb89bc56">
  <xsd:schema xmlns:xsd="http://www.w3.org/2001/XMLSchema" xmlns:xs="http://www.w3.org/2001/XMLSchema" xmlns:p="http://schemas.microsoft.com/office/2006/metadata/properties" xmlns:ns1="166541c0-0594-4e6a-9105-c24d4b6de6f7" xmlns:ns3="685f9fda-bd71-4433-b331-92feb9553089" targetNamespace="http://schemas.microsoft.com/office/2006/metadata/properties" ma:root="true" ma:fieldsID="76f1aafd45aee4e06fde14cce240cffd" ns1:_="" ns3:_="">
    <xsd:import namespace="166541c0-0594-4e6a-9105-c24d4b6de6f7"/>
    <xsd:import namespace="685f9fda-bd71-4433-b331-92feb9553089"/>
    <xsd:element name="properties">
      <xsd:complexType>
        <xsd:sequence>
          <xsd:element name="documentManagement">
            <xsd:complexType>
              <xsd:all>
                <xsd:element ref="ns1:ShareHubID" minOccurs="0"/>
                <xsd:element ref="ns3:NonRecordJustification" minOccurs="0"/>
                <xsd:element ref="ns1:PMCNotes" minOccurs="0"/>
                <xsd:element ref="ns1:mc5611b894cf49d8aeeb8ebf39dc09bc" minOccurs="0"/>
                <xsd:element ref="ns1:TaxCatchAll" minOccurs="0"/>
                <xsd:element ref="ns1:TaxCatchAllLabel" minOccurs="0"/>
                <xsd:element ref="ns1:jd1c641577414dfdab1686c9d5d0dbd0" minOccurs="0"/>
                <xsd:element ref="ns1:SharedWithUsers" minOccurs="0"/>
                <xsd:element ref="ns1:hc4a8f51d7584793bcee84017ea96cb3"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66541c0-0594-4e6a-9105-c24d4b6de6f7" elementFormDefault="qualified">
    <xsd:import namespace="http://schemas.microsoft.com/office/2006/documentManagement/types"/>
    <xsd:import namespace="http://schemas.microsoft.com/office/infopath/2007/PartnerControls"/>
    <xsd:element name="ShareHubID" ma:index="0" nillable="true" ma:displayName="Record ID" ma:indexed="true" ma:internalName="ShareHubID">
      <xsd:simpleType>
        <xsd:restriction base="dms:Text">
          <xsd:maxLength value="255"/>
        </xsd:restriction>
      </xsd:simpleType>
    </xsd:element>
    <xsd:element name="PMCNotes" ma:index="6" nillable="true" ma:displayName="Notes" ma:internalName="PMCNotes">
      <xsd:simpleType>
        <xsd:restriction base="dms:Note">
          <xsd:maxLength value="255"/>
        </xsd:restriction>
      </xsd:simpleType>
    </xsd:element>
    <xsd:element name="mc5611b894cf49d8aeeb8ebf39dc09bc" ma:index="8" ma:taxonomy="true" ma:internalName="mc5611b894cf49d8aeeb8ebf39dc09bc" ma:taxonomyFieldName="HPRMSecurityLevel" ma:displayName="Security Classification" ma:default="57;#OFFICIAL|11463c70-78df-4e3b-b0ff-f66cd3cb26ec" ma:fieldId="{6c5611b8-94cf-49d8-aeeb-8ebf39dc09bc}" ma:sspId="fdd71c70-8dda-4116-8995-314ca52d638a" ma:termSetId="ad616a2a-2f34-42df-868f-846f11d5d891"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aea88e85-05a7-4360-91dc-760ce9bb3d8d}" ma:internalName="TaxCatchAll" ma:showField="CatchAllData" ma:web="166541c0-0594-4e6a-9105-c24d4b6de6f7">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aea88e85-05a7-4360-91dc-760ce9bb3d8d}" ma:internalName="TaxCatchAllLabel" ma:readOnly="true" ma:showField="CatchAllDataLabel" ma:web="166541c0-0594-4e6a-9105-c24d4b6de6f7">
      <xsd:complexType>
        <xsd:complexContent>
          <xsd:extension base="dms:MultiChoiceLookup">
            <xsd:sequence>
              <xsd:element name="Value" type="dms:Lookup" maxOccurs="unbounded" minOccurs="0" nillable="true"/>
            </xsd:sequence>
          </xsd:extension>
        </xsd:complexContent>
      </xsd:complexType>
    </xsd:element>
    <xsd:element name="jd1c641577414dfdab1686c9d5d0dbd0" ma:index="12" nillable="true" ma:taxonomy="true" ma:internalName="jd1c641577414dfdab1686c9d5d0dbd0" ma:taxonomyFieldName="HPRMSecurityCaveat" ma:displayName="Information Marker" ma:fieldId="{3d1c6415-7741-4dfd-ab16-86c9d5d0dbd0}" ma:taxonomyMulti="true" ma:sspId="fdd71c70-8dda-4116-8995-314ca52d638a" ma:termSetId="4779c3b8-a320-4a06-b8c8-666ff4292a5a" ma:anchorId="00000000-0000-0000-0000-000000000000" ma:open="false" ma:isKeyword="false">
      <xsd:complexType>
        <xsd:sequence>
          <xsd:element ref="pc:Terms" minOccurs="0" maxOccurs="1"/>
        </xsd:sequence>
      </xsd:complexType>
    </xsd:element>
    <xsd:element name="SharedWithUsers" ma:index="17"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hc4a8f51d7584793bcee84017ea96cb3" ma:index="18" nillable="true" ma:taxonomy="true" ma:internalName="hc4a8f51d7584793bcee84017ea96cb3" ma:taxonomyFieldName="ESearchTags" ma:displayName="Tags" ma:fieldId="{1c4a8f51-d758-4793-bcee-84017ea96cb3}" ma:taxonomyMulti="true" ma:sspId="fdd71c70-8dda-4116-8995-314ca52d638a" ma:termSetId="8f252924-ebd5-4b35-b39d-81596a6204b5" ma:anchorId="00000000-0000-0000-0000-000000000000"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85f9fda-bd71-4433-b331-92feb9553089" elementFormDefault="qualified">
    <xsd:import namespace="http://schemas.microsoft.com/office/2006/documentManagement/types"/>
    <xsd:import namespace="http://schemas.microsoft.com/office/infopath/2007/PartnerControls"/>
    <xsd:element name="NonRecordJustification" ma:index="5" nillable="true" ma:displayName="Non-record justification" ma:default="None" ma:format="Dropdown" ma:internalName="NonRecordJustification" ma:readOnly="false">
      <xsd:simpleType>
        <xsd:restriction base="dms:Choice">
          <xsd:enumeration value="None"/>
          <xsd:enumeration value="Not defined as a record under the Archives Act of 1983"/>
          <xsd:enumeration value="Duplicate or low value item"/>
          <xsd:enumeration value="Superced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1" ma:displayName="Content Type"/>
        <xsd:element ref="dc:title" minOccurs="0"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mc5611b894cf49d8aeeb8ebf39dc09bc xmlns="166541c0-0594-4e6a-9105-c24d4b6de6f7">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11463c70-78df-4e3b-b0ff-f66cd3cb26ec</TermId>
        </TermInfo>
      </Terms>
    </mc5611b894cf49d8aeeb8ebf39dc09bc>
    <jd1c641577414dfdab1686c9d5d0dbd0 xmlns="166541c0-0594-4e6a-9105-c24d4b6de6f7">
      <Terms xmlns="http://schemas.microsoft.com/office/infopath/2007/PartnerControls"/>
    </jd1c641577414dfdab1686c9d5d0dbd0>
    <hc4a8f51d7584793bcee84017ea96cb3 xmlns="166541c0-0594-4e6a-9105-c24d4b6de6f7">
      <Terms xmlns="http://schemas.microsoft.com/office/infopath/2007/PartnerControls"/>
    </hc4a8f51d7584793bcee84017ea96cb3>
    <ShareHubID xmlns="166541c0-0594-4e6a-9105-c24d4b6de6f7">DOC23-163019</ShareHubID>
    <TaxCatchAll xmlns="166541c0-0594-4e6a-9105-c24d4b6de6f7">
      <Value>57</Value>
    </TaxCatchAll>
    <PMCNotes xmlns="166541c0-0594-4e6a-9105-c24d4b6de6f7" xsi:nil="true"/>
    <NonRecordJustification xmlns="685f9fda-bd71-4433-b331-92feb9553089">None</NonRecordJustification>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ED0AD5-D40E-4D3C-AAF0-166E6779CA25}">
  <ds:schemaRefs>
    <ds:schemaRef ds:uri="http://schemas.microsoft.com/sharepoint/v3/contenttype/forms"/>
  </ds:schemaRefs>
</ds:datastoreItem>
</file>

<file path=customXml/itemProps2.xml><?xml version="1.0" encoding="utf-8"?>
<ds:datastoreItem xmlns:ds="http://schemas.openxmlformats.org/officeDocument/2006/customXml" ds:itemID="{2B06F52E-DD65-4FAF-AFB0-BC081C68E5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66541c0-0594-4e6a-9105-c24d4b6de6f7"/>
    <ds:schemaRef ds:uri="685f9fda-bd71-4433-b331-92feb95530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5C953D9-DBE9-4B7E-A044-A0EEFFD579C3}">
  <ds:schemaRefs>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685f9fda-bd71-4433-b331-92feb9553089"/>
    <ds:schemaRef ds:uri="http://purl.org/dc/elements/1.1/"/>
    <ds:schemaRef ds:uri="166541c0-0594-4e6a-9105-c24d4b6de6f7"/>
    <ds:schemaRef ds:uri="http://www.w3.org/XML/1998/namespace"/>
    <ds:schemaRef ds:uri="http://purl.org/dc/dcmitype/"/>
  </ds:schemaRefs>
</ds:datastoreItem>
</file>

<file path=customXml/itemProps4.xml><?xml version="1.0" encoding="utf-8"?>
<ds:datastoreItem xmlns:ds="http://schemas.openxmlformats.org/officeDocument/2006/customXml" ds:itemID="{278154F6-F05A-4F83-9F41-1F28639A3E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54</Pages>
  <Words>14023</Words>
  <Characters>78670</Characters>
  <Application>Microsoft Office Word</Application>
  <DocSecurity>0</DocSecurity>
  <Lines>1430</Lines>
  <Paragraphs>657</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92036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2023-05-30T22:44:00Z</dcterms:created>
  <dcterms:modified xsi:type="dcterms:W3CDTF">2023-05-31T04:07:00Z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0x0101002825A64A6E1845A99A9D8EE8A5686ECB009B58D7D72C3ED54C851955501673F8AC</vt:lpwstr>
  </property>
  <property fmtid="{D5CDD505-2E9C-101B-9397-08002B2CF9AE}" pid="3" name="ESearchTags">
    <vt:lpwstr/>
  </property>
  <property fmtid="{D5CDD505-2E9C-101B-9397-08002B2CF9AE}" pid="4" name="HPRMSecurityLevel">
    <vt:lpwstr>57;#OFFICIAL|11463c70-78df-4e3b-b0ff-f66cd3cb26ec</vt:lpwstr>
  </property>
  <property fmtid="{D5CDD505-2E9C-101B-9397-08002B2CF9AE}" pid="5" name="HPRMSecurityCaveat">
    <vt:lpwstr/>
  </property>
  <property fmtid="{D5CDD505-2E9C-101B-9397-08002B2CF9AE}" pid="6" name="PMC.ESearch.TagGeneratedTime">
    <vt:lpwstr>2023-05-31T14:33:12</vt:lpwstr>
  </property>
</Properties>
</file>